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56ADD" w14:textId="5456EBF3" w:rsidR="00B37B5F" w:rsidRPr="0050036D" w:rsidRDefault="00B37B5F" w:rsidP="00F058C7">
      <w:pPr>
        <w:pStyle w:val="Heading2"/>
        <w:spacing w:before="0" w:after="120"/>
        <w:jc w:val="center"/>
        <w:rPr>
          <w:rFonts w:eastAsiaTheme="minorHAnsi" w:cstheme="majorHAnsi"/>
          <w:sz w:val="32"/>
          <w:szCs w:val="22"/>
        </w:rPr>
      </w:pPr>
      <w:r w:rsidRPr="0050036D">
        <w:rPr>
          <w:rFonts w:eastAsiaTheme="minorHAnsi" w:cstheme="majorHAnsi"/>
          <w:sz w:val="32"/>
          <w:szCs w:val="22"/>
        </w:rPr>
        <w:t xml:space="preserve">EU REGULATION ON EMISSION PERFORMANCE STANDARDS: </w:t>
      </w:r>
      <w:r w:rsidRPr="0050036D">
        <w:rPr>
          <w:rFonts w:eastAsiaTheme="minorHAnsi" w:cstheme="majorHAnsi"/>
          <w:sz w:val="32"/>
          <w:szCs w:val="22"/>
        </w:rPr>
        <w:br/>
      </w:r>
      <w:r w:rsidR="00497AD2" w:rsidRPr="0050036D">
        <w:rPr>
          <w:rFonts w:eastAsiaTheme="minorHAnsi" w:cstheme="majorHAnsi"/>
          <w:sz w:val="32"/>
          <w:szCs w:val="22"/>
        </w:rPr>
        <w:t>EFOA encourages policymakers to strengthen proposal by recognising the CO</w:t>
      </w:r>
      <w:r w:rsidR="00497AD2" w:rsidRPr="0050036D">
        <w:rPr>
          <w:rFonts w:eastAsiaTheme="minorHAnsi" w:cstheme="majorHAnsi"/>
          <w:sz w:val="32"/>
          <w:szCs w:val="22"/>
          <w:vertAlign w:val="subscript"/>
        </w:rPr>
        <w:t xml:space="preserve">2 </w:t>
      </w:r>
      <w:r w:rsidR="00497AD2" w:rsidRPr="0050036D">
        <w:rPr>
          <w:rFonts w:eastAsiaTheme="minorHAnsi" w:cstheme="majorHAnsi"/>
          <w:sz w:val="32"/>
          <w:szCs w:val="22"/>
        </w:rPr>
        <w:t>emissions reduction potential of high quality/high octane fuels</w:t>
      </w:r>
    </w:p>
    <w:tbl>
      <w:tblPr>
        <w:tblStyle w:val="TableGrid"/>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8980"/>
      </w:tblGrid>
      <w:tr w:rsidR="00B37B5F" w:rsidRPr="0050036D" w14:paraId="05A1968A" w14:textId="77777777" w:rsidTr="00497AD2">
        <w:trPr>
          <w:trHeight w:val="1545"/>
        </w:trPr>
        <w:tc>
          <w:tcPr>
            <w:tcW w:w="8980" w:type="dxa"/>
            <w:shd w:val="clear" w:color="auto" w:fill="auto"/>
          </w:tcPr>
          <w:p w14:paraId="506A70E8" w14:textId="77777777" w:rsidR="00B37B5F" w:rsidRPr="0050036D" w:rsidRDefault="00B37B5F" w:rsidP="00250F3D">
            <w:pPr>
              <w:spacing w:after="0" w:line="240" w:lineRule="auto"/>
              <w:jc w:val="center"/>
              <w:rPr>
                <w:rFonts w:cstheme="minorHAnsi"/>
                <w:b/>
                <w:color w:val="5B9BD5" w:themeColor="accent1"/>
                <w:sz w:val="24"/>
                <w:szCs w:val="24"/>
              </w:rPr>
            </w:pPr>
            <w:r w:rsidRPr="0050036D">
              <w:rPr>
                <w:rFonts w:cstheme="minorHAnsi"/>
                <w:b/>
                <w:color w:val="5B9BD5" w:themeColor="accent1"/>
                <w:sz w:val="24"/>
                <w:szCs w:val="24"/>
              </w:rPr>
              <w:t>EFOA BELIEVES TWO KEY OBJECTIVES SHOULD BE ENSHRINED IN THE REGULATION:</w:t>
            </w:r>
          </w:p>
          <w:p w14:paraId="1E7A444F" w14:textId="77777777" w:rsidR="00B37B5F" w:rsidRPr="0050036D" w:rsidRDefault="00B37B5F" w:rsidP="00250F3D">
            <w:pPr>
              <w:pStyle w:val="ListParagraph"/>
              <w:numPr>
                <w:ilvl w:val="0"/>
                <w:numId w:val="8"/>
              </w:numPr>
              <w:spacing w:after="0" w:line="240" w:lineRule="auto"/>
              <w:rPr>
                <w:rFonts w:cstheme="minorHAnsi"/>
                <w:color w:val="000000" w:themeColor="text1"/>
                <w:sz w:val="24"/>
                <w:szCs w:val="24"/>
              </w:rPr>
            </w:pPr>
            <w:r w:rsidRPr="0050036D">
              <w:rPr>
                <w:rFonts w:cstheme="minorHAnsi"/>
                <w:color w:val="000000" w:themeColor="text1"/>
                <w:sz w:val="24"/>
                <w:szCs w:val="24"/>
              </w:rPr>
              <w:t>Recognising the CO</w:t>
            </w:r>
            <w:r w:rsidRPr="0050036D">
              <w:rPr>
                <w:rFonts w:cstheme="minorHAnsi"/>
                <w:color w:val="000000" w:themeColor="text1"/>
                <w:sz w:val="24"/>
                <w:szCs w:val="24"/>
                <w:vertAlign w:val="subscript"/>
              </w:rPr>
              <w:t xml:space="preserve">2 </w:t>
            </w:r>
            <w:r w:rsidRPr="0050036D">
              <w:rPr>
                <w:rFonts w:cstheme="minorHAnsi"/>
                <w:color w:val="000000" w:themeColor="text1"/>
                <w:sz w:val="24"/>
                <w:szCs w:val="24"/>
              </w:rPr>
              <w:t>emissions reduction potential of high quality/high octane fuels.</w:t>
            </w:r>
          </w:p>
          <w:p w14:paraId="481FFD43" w14:textId="4C865A68" w:rsidR="00B37B5F" w:rsidRPr="0050036D" w:rsidRDefault="00B37B5F" w:rsidP="00250F3D">
            <w:pPr>
              <w:pStyle w:val="ListParagraph"/>
              <w:numPr>
                <w:ilvl w:val="0"/>
                <w:numId w:val="8"/>
              </w:numPr>
              <w:spacing w:after="0" w:line="240" w:lineRule="auto"/>
              <w:rPr>
                <w:rFonts w:cstheme="minorHAnsi"/>
                <w:color w:val="000000" w:themeColor="text1"/>
                <w:sz w:val="24"/>
                <w:szCs w:val="24"/>
              </w:rPr>
            </w:pPr>
            <w:r w:rsidRPr="0050036D">
              <w:rPr>
                <w:rFonts w:cstheme="minorHAnsi"/>
                <w:color w:val="000000" w:themeColor="text1"/>
                <w:sz w:val="24"/>
                <w:szCs w:val="24"/>
              </w:rPr>
              <w:t>Providing a further option to help the transport sector reaching EU CO</w:t>
            </w:r>
            <w:r w:rsidRPr="0050036D">
              <w:rPr>
                <w:rFonts w:cstheme="minorHAnsi"/>
                <w:color w:val="000000" w:themeColor="text1"/>
                <w:sz w:val="24"/>
                <w:szCs w:val="24"/>
                <w:vertAlign w:val="subscript"/>
              </w:rPr>
              <w:t xml:space="preserve">2 </w:t>
            </w:r>
            <w:r w:rsidRPr="0050036D">
              <w:rPr>
                <w:rFonts w:cstheme="minorHAnsi"/>
                <w:color w:val="000000" w:themeColor="text1"/>
                <w:sz w:val="24"/>
                <w:szCs w:val="24"/>
              </w:rPr>
              <w:t>and efficie</w:t>
            </w:r>
            <w:r w:rsidR="0006442A" w:rsidRPr="0050036D">
              <w:rPr>
                <w:rFonts w:cstheme="minorHAnsi"/>
                <w:color w:val="000000" w:themeColor="text1"/>
                <w:sz w:val="24"/>
                <w:szCs w:val="24"/>
              </w:rPr>
              <w:t>ncy</w:t>
            </w:r>
            <w:r w:rsidRPr="0050036D">
              <w:rPr>
                <w:rFonts w:cstheme="minorHAnsi"/>
                <w:color w:val="000000" w:themeColor="text1"/>
                <w:sz w:val="24"/>
                <w:szCs w:val="24"/>
              </w:rPr>
              <w:t xml:space="preserve"> goals.</w:t>
            </w:r>
          </w:p>
          <w:p w14:paraId="539B3DE0" w14:textId="4B95A5C6" w:rsidR="00497AD2" w:rsidRPr="0050036D" w:rsidRDefault="00497AD2" w:rsidP="009936A6">
            <w:pPr>
              <w:spacing w:after="0" w:line="240" w:lineRule="auto"/>
              <w:rPr>
                <w:rFonts w:asciiTheme="majorHAnsi" w:hAnsiTheme="majorHAnsi" w:cstheme="majorHAnsi"/>
                <w:color w:val="5B9BD5" w:themeColor="accent1"/>
                <w:sz w:val="8"/>
                <w:szCs w:val="28"/>
              </w:rPr>
            </w:pPr>
          </w:p>
        </w:tc>
      </w:tr>
    </w:tbl>
    <w:p w14:paraId="51B2CEF6" w14:textId="58749725" w:rsidR="00B37B5F" w:rsidRPr="0050036D" w:rsidRDefault="00B37B5F" w:rsidP="004359C8">
      <w:pPr>
        <w:spacing w:line="240" w:lineRule="auto"/>
        <w:jc w:val="both"/>
        <w:rPr>
          <w:rFonts w:cstheme="minorHAnsi"/>
          <w:color w:val="000000" w:themeColor="text1"/>
        </w:rPr>
      </w:pPr>
      <w:r w:rsidRPr="0050036D">
        <w:rPr>
          <w:rFonts w:cstheme="minorHAnsi"/>
        </w:rPr>
        <w:t>Following the European Commission’s proposal for post-2020 Emissions Performance Standards for Light Duty Vehicles and the draft rep</w:t>
      </w:r>
      <w:r w:rsidR="00B806E9" w:rsidRPr="0050036D">
        <w:rPr>
          <w:rFonts w:cstheme="minorHAnsi"/>
        </w:rPr>
        <w:t xml:space="preserve">ort on the file by Miriam </w:t>
      </w:r>
      <w:proofErr w:type="spellStart"/>
      <w:r w:rsidR="00B806E9" w:rsidRPr="0050036D">
        <w:rPr>
          <w:rFonts w:cstheme="minorHAnsi"/>
        </w:rPr>
        <w:t>Dalli</w:t>
      </w:r>
      <w:proofErr w:type="spellEnd"/>
      <w:r w:rsidR="00B806E9" w:rsidRPr="0050036D">
        <w:rPr>
          <w:rFonts w:cstheme="minorHAnsi"/>
        </w:rPr>
        <w:t xml:space="preserve">, </w:t>
      </w:r>
      <w:r w:rsidRPr="0050036D">
        <w:rPr>
          <w:rFonts w:cstheme="minorHAnsi"/>
        </w:rPr>
        <w:t>MEP,</w:t>
      </w:r>
      <w:r w:rsidRPr="0050036D">
        <w:rPr>
          <w:rFonts w:cstheme="minorHAnsi"/>
          <w:color w:val="000000" w:themeColor="text1"/>
        </w:rPr>
        <w:t xml:space="preserve"> </w:t>
      </w:r>
      <w:proofErr w:type="gramStart"/>
      <w:r w:rsidRPr="0050036D">
        <w:rPr>
          <w:rFonts w:cstheme="minorHAnsi"/>
          <w:color w:val="000000" w:themeColor="text1"/>
        </w:rPr>
        <w:t>EFOA</w:t>
      </w:r>
      <w:proofErr w:type="gramEnd"/>
      <w:r w:rsidRPr="0050036D">
        <w:rPr>
          <w:rFonts w:cstheme="minorHAnsi"/>
          <w:color w:val="000000" w:themeColor="text1"/>
        </w:rPr>
        <w:t xml:space="preserve"> would like to bring to the attention of policymakers the role of clean, efficient and high quality fuels in the decarbonisation </w:t>
      </w:r>
      <w:r w:rsidRPr="0050036D">
        <w:rPr>
          <w:rFonts w:cstheme="minorHAnsi"/>
          <w:bCs/>
          <w:color w:val="000000" w:themeColor="text1"/>
        </w:rPr>
        <w:t>of transport.</w:t>
      </w:r>
      <w:r w:rsidRPr="0050036D">
        <w:rPr>
          <w:rFonts w:cstheme="minorHAnsi"/>
          <w:color w:val="000000" w:themeColor="text1"/>
        </w:rPr>
        <w:t xml:space="preserve"> Harvesting the CO</w:t>
      </w:r>
      <w:r w:rsidRPr="0050036D">
        <w:rPr>
          <w:rFonts w:cstheme="minorHAnsi"/>
          <w:color w:val="000000" w:themeColor="text1"/>
          <w:vertAlign w:val="subscript"/>
        </w:rPr>
        <w:t>2</w:t>
      </w:r>
      <w:r w:rsidRPr="0050036D">
        <w:rPr>
          <w:rFonts w:cstheme="minorHAnsi"/>
          <w:color w:val="000000" w:themeColor="text1"/>
        </w:rPr>
        <w:t xml:space="preserve"> reduction potential offered by high quality fuels is a much needed, cost-effective and environmentally sustainable solution for car manufacturers. It will also benefit European consumers by offering them a more efficient product, as cars will run longer distances and/or have a higher performance with the same amount of fuel.  </w:t>
      </w:r>
    </w:p>
    <w:tbl>
      <w:tblPr>
        <w:tblStyle w:val="TableGrid"/>
        <w:tblW w:w="0" w:type="auto"/>
        <w:tblLook w:val="04A0" w:firstRow="1" w:lastRow="0" w:firstColumn="1" w:lastColumn="0" w:noHBand="0" w:noVBand="1"/>
      </w:tblPr>
      <w:tblGrid>
        <w:gridCol w:w="8996"/>
      </w:tblGrid>
      <w:tr w:rsidR="00497AD2" w:rsidRPr="0050036D" w14:paraId="0FE3175B" w14:textId="77777777" w:rsidTr="00497AD2">
        <w:tc>
          <w:tcPr>
            <w:tcW w:w="899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7932B66" w14:textId="7F2C8F70" w:rsidR="00002BA8" w:rsidRPr="00102270" w:rsidRDefault="00497AD2" w:rsidP="00497AD2">
            <w:pPr>
              <w:spacing w:after="0" w:line="240" w:lineRule="auto"/>
              <w:jc w:val="center"/>
              <w:rPr>
                <w:rFonts w:asciiTheme="majorHAnsi" w:hAnsiTheme="majorHAnsi" w:cstheme="majorHAnsi"/>
                <w:color w:val="5B9BD5" w:themeColor="accent1"/>
                <w:sz w:val="24"/>
                <w:szCs w:val="28"/>
              </w:rPr>
            </w:pPr>
            <w:r w:rsidRPr="00102270">
              <w:rPr>
                <w:rFonts w:asciiTheme="majorHAnsi" w:hAnsiTheme="majorHAnsi" w:cstheme="majorHAnsi"/>
                <w:color w:val="5B9BD5" w:themeColor="accent1"/>
                <w:sz w:val="24"/>
                <w:szCs w:val="28"/>
              </w:rPr>
              <w:t>WE CALL FOR SUPPORT O</w:t>
            </w:r>
            <w:r w:rsidR="00002BA8" w:rsidRPr="00102270">
              <w:rPr>
                <w:rFonts w:asciiTheme="majorHAnsi" w:hAnsiTheme="majorHAnsi" w:cstheme="majorHAnsi"/>
                <w:color w:val="5B9BD5" w:themeColor="accent1"/>
                <w:sz w:val="24"/>
                <w:szCs w:val="28"/>
              </w:rPr>
              <w:t xml:space="preserve">F: </w:t>
            </w:r>
          </w:p>
          <w:p w14:paraId="648341C5" w14:textId="67167FE0" w:rsidR="00497AD2" w:rsidRPr="0050036D" w:rsidRDefault="00002BA8" w:rsidP="00497AD2">
            <w:pPr>
              <w:spacing w:after="0" w:line="240" w:lineRule="auto"/>
              <w:jc w:val="center"/>
              <w:rPr>
                <w:rFonts w:asciiTheme="majorHAnsi" w:hAnsiTheme="majorHAnsi" w:cstheme="majorHAnsi"/>
                <w:b/>
                <w:color w:val="5B9BD5" w:themeColor="accent1"/>
                <w:sz w:val="24"/>
                <w:szCs w:val="28"/>
              </w:rPr>
            </w:pPr>
            <w:r>
              <w:rPr>
                <w:rFonts w:asciiTheme="majorHAnsi" w:hAnsiTheme="majorHAnsi" w:cstheme="majorHAnsi"/>
                <w:b/>
                <w:color w:val="5B9BD5" w:themeColor="accent1"/>
                <w:sz w:val="24"/>
                <w:szCs w:val="28"/>
              </w:rPr>
              <w:t xml:space="preserve">TWO </w:t>
            </w:r>
            <w:r w:rsidR="00497AD2" w:rsidRPr="0050036D">
              <w:rPr>
                <w:rFonts w:asciiTheme="majorHAnsi" w:hAnsiTheme="majorHAnsi" w:cstheme="majorHAnsi"/>
                <w:b/>
                <w:color w:val="5B9BD5" w:themeColor="accent1"/>
                <w:sz w:val="24"/>
                <w:szCs w:val="28"/>
              </w:rPr>
              <w:t xml:space="preserve">AMENDMENTS SUBMITTED IN THE ENVI COMMITTEE: </w:t>
            </w:r>
          </w:p>
          <w:p w14:paraId="1A7F03DD" w14:textId="74330690" w:rsidR="00497AD2" w:rsidRPr="0050036D" w:rsidRDefault="009936A6" w:rsidP="00497AD2">
            <w:pPr>
              <w:spacing w:after="0" w:line="240" w:lineRule="auto"/>
              <w:jc w:val="center"/>
              <w:rPr>
                <w:rFonts w:asciiTheme="majorHAnsi" w:hAnsiTheme="majorHAnsi" w:cstheme="majorHAnsi"/>
                <w:color w:val="5B9BD5" w:themeColor="accent1"/>
                <w:sz w:val="24"/>
                <w:szCs w:val="28"/>
              </w:rPr>
            </w:pPr>
            <w:r w:rsidRPr="0050036D">
              <w:rPr>
                <w:rFonts w:asciiTheme="majorHAnsi" w:hAnsiTheme="majorHAnsi" w:cstheme="majorHAnsi"/>
                <w:color w:val="5B9BD5" w:themeColor="accent1"/>
                <w:sz w:val="24"/>
                <w:szCs w:val="28"/>
              </w:rPr>
              <w:t>Amendment</w:t>
            </w:r>
            <w:r w:rsidR="00497AD2" w:rsidRPr="0050036D">
              <w:rPr>
                <w:rFonts w:asciiTheme="majorHAnsi" w:hAnsiTheme="majorHAnsi" w:cstheme="majorHAnsi"/>
                <w:color w:val="5B9BD5" w:themeColor="accent1"/>
                <w:sz w:val="24"/>
                <w:szCs w:val="28"/>
              </w:rPr>
              <w:t xml:space="preserve"> 146 (Recital 20 a),</w:t>
            </w:r>
          </w:p>
          <w:p w14:paraId="15C3F6A0" w14:textId="249F0D10" w:rsidR="00497AD2" w:rsidRPr="0050036D" w:rsidRDefault="00497AD2" w:rsidP="00497AD2">
            <w:pPr>
              <w:spacing w:after="0" w:line="240" w:lineRule="auto"/>
              <w:jc w:val="center"/>
              <w:rPr>
                <w:rFonts w:asciiTheme="majorHAnsi" w:hAnsiTheme="majorHAnsi" w:cstheme="majorHAnsi"/>
                <w:color w:val="5B9BD5" w:themeColor="accent1"/>
                <w:sz w:val="24"/>
                <w:szCs w:val="28"/>
              </w:rPr>
            </w:pPr>
            <w:r w:rsidRPr="0050036D">
              <w:rPr>
                <w:rFonts w:asciiTheme="majorHAnsi" w:hAnsiTheme="majorHAnsi" w:cstheme="majorHAnsi"/>
                <w:color w:val="5B9BD5" w:themeColor="accent1"/>
                <w:sz w:val="24"/>
                <w:szCs w:val="28"/>
              </w:rPr>
              <w:t xml:space="preserve"> </w:t>
            </w:r>
            <w:r w:rsidR="009936A6" w:rsidRPr="0050036D">
              <w:rPr>
                <w:rFonts w:asciiTheme="majorHAnsi" w:hAnsiTheme="majorHAnsi" w:cstheme="majorHAnsi"/>
                <w:color w:val="5B9BD5" w:themeColor="accent1"/>
                <w:sz w:val="24"/>
                <w:szCs w:val="28"/>
              </w:rPr>
              <w:t>Amendment</w:t>
            </w:r>
            <w:r w:rsidRPr="0050036D">
              <w:rPr>
                <w:rFonts w:asciiTheme="majorHAnsi" w:hAnsiTheme="majorHAnsi" w:cstheme="majorHAnsi"/>
                <w:color w:val="5B9BD5" w:themeColor="accent1"/>
                <w:sz w:val="24"/>
                <w:szCs w:val="28"/>
              </w:rPr>
              <w:t xml:space="preserve"> 319 (Article 5 a),</w:t>
            </w:r>
          </w:p>
          <w:p w14:paraId="68F8AFB2" w14:textId="77777777" w:rsidR="00002BA8" w:rsidRDefault="00002BA8" w:rsidP="00497AD2">
            <w:pPr>
              <w:spacing w:after="0" w:line="240" w:lineRule="auto"/>
              <w:jc w:val="center"/>
              <w:rPr>
                <w:rFonts w:asciiTheme="majorHAnsi" w:hAnsiTheme="majorHAnsi" w:cstheme="majorHAnsi"/>
                <w:color w:val="5B9BD5" w:themeColor="accent1"/>
                <w:sz w:val="24"/>
                <w:szCs w:val="28"/>
              </w:rPr>
            </w:pPr>
          </w:p>
          <w:p w14:paraId="333E7995" w14:textId="242D9D71" w:rsidR="00002BA8" w:rsidRDefault="00002BA8" w:rsidP="00497AD2">
            <w:pPr>
              <w:spacing w:after="0" w:line="240" w:lineRule="auto"/>
              <w:jc w:val="center"/>
              <w:rPr>
                <w:rFonts w:asciiTheme="majorHAnsi" w:hAnsiTheme="majorHAnsi" w:cstheme="majorHAnsi"/>
                <w:b/>
                <w:color w:val="5B9BD5" w:themeColor="accent1"/>
                <w:sz w:val="24"/>
                <w:szCs w:val="28"/>
              </w:rPr>
            </w:pPr>
            <w:r w:rsidRPr="00002BA8">
              <w:rPr>
                <w:rFonts w:asciiTheme="majorHAnsi" w:hAnsiTheme="majorHAnsi" w:cstheme="majorHAnsi"/>
                <w:b/>
                <w:color w:val="5B9BD5" w:themeColor="accent1"/>
                <w:sz w:val="24"/>
                <w:szCs w:val="28"/>
              </w:rPr>
              <w:t xml:space="preserve">AND </w:t>
            </w:r>
            <w:r w:rsidR="00102270">
              <w:rPr>
                <w:rFonts w:asciiTheme="majorHAnsi" w:hAnsiTheme="majorHAnsi" w:cstheme="majorHAnsi"/>
                <w:b/>
                <w:color w:val="5B9BD5" w:themeColor="accent1"/>
                <w:sz w:val="24"/>
                <w:szCs w:val="28"/>
              </w:rPr>
              <w:t xml:space="preserve">AN </w:t>
            </w:r>
            <w:r>
              <w:rPr>
                <w:rFonts w:asciiTheme="majorHAnsi" w:hAnsiTheme="majorHAnsi" w:cstheme="majorHAnsi"/>
                <w:b/>
                <w:color w:val="5B9BD5" w:themeColor="accent1"/>
                <w:sz w:val="24"/>
                <w:szCs w:val="28"/>
              </w:rPr>
              <w:t xml:space="preserve">AMENDMENT IN TRAN COMMITTEE: </w:t>
            </w:r>
          </w:p>
          <w:p w14:paraId="706FE64D" w14:textId="2B7C5C85" w:rsidR="00002BA8" w:rsidRPr="0050036D" w:rsidRDefault="00002BA8" w:rsidP="00002BA8">
            <w:pPr>
              <w:autoSpaceDE w:val="0"/>
              <w:autoSpaceDN w:val="0"/>
              <w:adjustRightInd w:val="0"/>
              <w:spacing w:after="0" w:line="240" w:lineRule="auto"/>
              <w:jc w:val="center"/>
              <w:rPr>
                <w:rFonts w:asciiTheme="majorHAnsi" w:hAnsiTheme="majorHAnsi" w:cstheme="majorHAnsi"/>
                <w:color w:val="5B9BD5" w:themeColor="accent1"/>
                <w:sz w:val="24"/>
                <w:szCs w:val="28"/>
              </w:rPr>
            </w:pPr>
            <w:r w:rsidRPr="00002BA8">
              <w:rPr>
                <w:rFonts w:asciiTheme="majorHAnsi" w:hAnsiTheme="majorHAnsi" w:cstheme="majorHAnsi"/>
                <w:color w:val="5B9BD5" w:themeColor="accent1"/>
                <w:sz w:val="24"/>
                <w:szCs w:val="28"/>
              </w:rPr>
              <w:t>Amendment 190</w:t>
            </w:r>
            <w:r>
              <w:rPr>
                <w:rFonts w:asciiTheme="majorHAnsi" w:hAnsiTheme="majorHAnsi" w:cstheme="majorHAnsi"/>
                <w:color w:val="5B9BD5" w:themeColor="accent1"/>
                <w:sz w:val="24"/>
                <w:szCs w:val="28"/>
              </w:rPr>
              <w:t xml:space="preserve"> (Article 5 a)</w:t>
            </w:r>
            <w:r w:rsidR="00102270">
              <w:rPr>
                <w:rFonts w:asciiTheme="majorHAnsi" w:hAnsiTheme="majorHAnsi" w:cstheme="majorHAnsi"/>
                <w:color w:val="5B9BD5" w:themeColor="accent1"/>
                <w:sz w:val="24"/>
                <w:szCs w:val="28"/>
              </w:rPr>
              <w:t>.</w:t>
            </w:r>
          </w:p>
        </w:tc>
      </w:tr>
    </w:tbl>
    <w:p w14:paraId="0EB7F1A1" w14:textId="77777777" w:rsidR="00497AD2" w:rsidRPr="0050036D" w:rsidRDefault="00497AD2" w:rsidP="00B37B5F">
      <w:pPr>
        <w:spacing w:after="0" w:line="240" w:lineRule="auto"/>
        <w:jc w:val="both"/>
        <w:rPr>
          <w:rFonts w:cstheme="minorHAnsi"/>
          <w:bCs/>
          <w:color w:val="000000" w:themeColor="text1"/>
        </w:rPr>
      </w:pPr>
    </w:p>
    <w:p w14:paraId="53BA850A" w14:textId="1A8F8397" w:rsidR="00B37B5F" w:rsidRPr="0050036D" w:rsidRDefault="00B37B5F" w:rsidP="00B37B5F">
      <w:pPr>
        <w:spacing w:after="0" w:line="240" w:lineRule="auto"/>
        <w:jc w:val="both"/>
        <w:rPr>
          <w:rFonts w:cstheme="minorHAnsi"/>
          <w:bCs/>
          <w:color w:val="000000" w:themeColor="text1"/>
        </w:rPr>
      </w:pPr>
      <w:r w:rsidRPr="0050036D">
        <w:rPr>
          <w:rFonts w:cstheme="minorHAnsi"/>
          <w:bCs/>
          <w:color w:val="000000" w:themeColor="text1"/>
        </w:rPr>
        <w:t xml:space="preserve">EFOA believes that high </w:t>
      </w:r>
      <w:proofErr w:type="gramStart"/>
      <w:r w:rsidRPr="0050036D">
        <w:rPr>
          <w:rFonts w:cstheme="minorHAnsi"/>
          <w:bCs/>
          <w:color w:val="000000" w:themeColor="text1"/>
        </w:rPr>
        <w:t>quality,</w:t>
      </w:r>
      <w:proofErr w:type="gramEnd"/>
      <w:r w:rsidRPr="0050036D">
        <w:rPr>
          <w:rFonts w:cstheme="minorHAnsi"/>
          <w:bCs/>
          <w:color w:val="000000" w:themeColor="text1"/>
        </w:rPr>
        <w:t xml:space="preserve"> high octane</w:t>
      </w:r>
      <w:r w:rsidRPr="0050036D">
        <w:rPr>
          <w:rStyle w:val="FootnoteReference"/>
          <w:rFonts w:cstheme="minorHAnsi"/>
          <w:bCs/>
          <w:color w:val="000000" w:themeColor="text1"/>
        </w:rPr>
        <w:footnoteReference w:id="1"/>
      </w:r>
      <w:r w:rsidRPr="0050036D">
        <w:rPr>
          <w:rFonts w:cstheme="minorHAnsi"/>
          <w:bCs/>
          <w:color w:val="000000" w:themeColor="text1"/>
        </w:rPr>
        <w:t xml:space="preserve"> fuels can play a key role in reducing emissions from European transport, and should be specifically recognised under this regulation.</w:t>
      </w:r>
      <w:r w:rsidRPr="0050036D">
        <w:rPr>
          <w:rFonts w:cstheme="minorHAnsi"/>
          <w:color w:val="000000" w:themeColor="text1"/>
        </w:rPr>
        <w:t xml:space="preserve"> This is especially important in view of current attempts to electrify urban transport fleet. </w:t>
      </w:r>
      <w:r w:rsidR="003F2E3C" w:rsidRPr="0050036D">
        <w:rPr>
          <w:rFonts w:cstheme="minorHAnsi"/>
          <w:color w:val="000000" w:themeColor="text1"/>
        </w:rPr>
        <w:t xml:space="preserve">There are hardly any fully electric vehicles on the road in Europe. In fact, it is hybrid cars that account for </w:t>
      </w:r>
      <w:r w:rsidR="00567D5A" w:rsidRPr="0050036D">
        <w:rPr>
          <w:rFonts w:cstheme="minorHAnsi"/>
          <w:color w:val="000000" w:themeColor="text1"/>
        </w:rPr>
        <w:t>most</w:t>
      </w:r>
      <w:r w:rsidR="003F2E3C" w:rsidRPr="0050036D">
        <w:rPr>
          <w:rFonts w:cstheme="minorHAnsi"/>
          <w:color w:val="000000" w:themeColor="text1"/>
        </w:rPr>
        <w:t xml:space="preserve"> (</w:t>
      </w:r>
      <w:r w:rsidRPr="0050036D">
        <w:rPr>
          <w:rFonts w:cstheme="minorHAnsi"/>
          <w:color w:val="000000" w:themeColor="text1"/>
        </w:rPr>
        <w:t>96.8</w:t>
      </w:r>
      <w:r w:rsidRPr="0050036D">
        <w:rPr>
          <w:rFonts w:cstheme="minorHAnsi"/>
          <w:bCs/>
          <w:color w:val="000000" w:themeColor="text1"/>
        </w:rPr>
        <w:t>%</w:t>
      </w:r>
      <w:r w:rsidRPr="0050036D">
        <w:rPr>
          <w:rStyle w:val="FootnoteReference"/>
          <w:rFonts w:cstheme="minorHAnsi"/>
          <w:bCs/>
          <w:color w:val="000000" w:themeColor="text1"/>
        </w:rPr>
        <w:footnoteReference w:id="2"/>
      </w:r>
      <w:r w:rsidR="003F2E3C" w:rsidRPr="0050036D">
        <w:rPr>
          <w:rFonts w:cstheme="minorHAnsi"/>
          <w:bCs/>
          <w:color w:val="000000" w:themeColor="text1"/>
        </w:rPr>
        <w:t xml:space="preserve"> to be precise)</w:t>
      </w:r>
      <w:r w:rsidRPr="0050036D">
        <w:rPr>
          <w:rFonts w:cstheme="minorHAnsi"/>
          <w:bCs/>
          <w:color w:val="000000" w:themeColor="text1"/>
        </w:rPr>
        <w:t xml:space="preserve"> of the yearly fleet mileage of electric vehicles today</w:t>
      </w:r>
      <w:r w:rsidR="003F2E3C" w:rsidRPr="0050036D">
        <w:rPr>
          <w:rFonts w:cstheme="minorHAnsi"/>
          <w:bCs/>
          <w:color w:val="000000" w:themeColor="text1"/>
        </w:rPr>
        <w:t xml:space="preserve">. </w:t>
      </w:r>
      <w:r w:rsidR="0098135A" w:rsidRPr="0050036D">
        <w:rPr>
          <w:rFonts w:cstheme="minorHAnsi"/>
          <w:bCs/>
          <w:color w:val="000000" w:themeColor="text1"/>
        </w:rPr>
        <w:t>This makes it essential that the</w:t>
      </w:r>
      <w:r w:rsidRPr="0050036D">
        <w:rPr>
          <w:rFonts w:cstheme="minorHAnsi"/>
          <w:bCs/>
          <w:color w:val="000000" w:themeColor="text1"/>
        </w:rPr>
        <w:t xml:space="preserve"> thermal part of the </w:t>
      </w:r>
      <w:r w:rsidR="0098135A" w:rsidRPr="0050036D">
        <w:rPr>
          <w:rFonts w:cstheme="minorHAnsi"/>
          <w:bCs/>
          <w:color w:val="000000" w:themeColor="text1"/>
        </w:rPr>
        <w:t xml:space="preserve">hybrid vehicles </w:t>
      </w:r>
      <w:r w:rsidR="00567D5A" w:rsidRPr="0050036D">
        <w:rPr>
          <w:rFonts w:cstheme="minorHAnsi"/>
          <w:bCs/>
          <w:color w:val="000000" w:themeColor="text1"/>
        </w:rPr>
        <w:t>is</w:t>
      </w:r>
      <w:r w:rsidR="0098135A" w:rsidRPr="0050036D">
        <w:rPr>
          <w:rFonts w:cstheme="minorHAnsi"/>
          <w:bCs/>
          <w:color w:val="000000" w:themeColor="text1"/>
        </w:rPr>
        <w:t xml:space="preserve"> </w:t>
      </w:r>
      <w:r w:rsidRPr="0050036D">
        <w:rPr>
          <w:rFonts w:cstheme="minorHAnsi"/>
          <w:bCs/>
          <w:color w:val="000000" w:themeColor="text1"/>
        </w:rPr>
        <w:t xml:space="preserve">efficient and </w:t>
      </w:r>
      <w:r w:rsidR="00567D5A" w:rsidRPr="0050036D">
        <w:rPr>
          <w:rFonts w:cstheme="minorHAnsi"/>
          <w:bCs/>
          <w:color w:val="000000" w:themeColor="text1"/>
        </w:rPr>
        <w:t>clean burning</w:t>
      </w:r>
      <w:r w:rsidRPr="0050036D">
        <w:rPr>
          <w:rFonts w:cstheme="minorHAnsi"/>
          <w:bCs/>
          <w:color w:val="000000" w:themeColor="text1"/>
        </w:rPr>
        <w:t xml:space="preserve">. </w:t>
      </w:r>
      <w:proofErr w:type="gramStart"/>
      <w:r w:rsidRPr="0050036D">
        <w:rPr>
          <w:rFonts w:cstheme="minorHAnsi"/>
          <w:bCs/>
          <w:color w:val="000000" w:themeColor="text1"/>
        </w:rPr>
        <w:t>As higher octane/high density fuels help increase</w:t>
      </w:r>
      <w:r w:rsidR="003D5D89" w:rsidRPr="0050036D">
        <w:rPr>
          <w:rFonts w:cstheme="minorHAnsi"/>
          <w:bCs/>
          <w:color w:val="000000" w:themeColor="text1"/>
        </w:rPr>
        <w:t xml:space="preserve"> the</w:t>
      </w:r>
      <w:r w:rsidRPr="0050036D">
        <w:rPr>
          <w:rFonts w:cstheme="minorHAnsi"/>
          <w:bCs/>
          <w:color w:val="000000" w:themeColor="text1"/>
        </w:rPr>
        <w:t xml:space="preserve"> fuel efficiency and emission reduction potential of hybrid engines, it makes them a more attractive choice and could boost consumer interest.</w:t>
      </w:r>
      <w:proofErr w:type="gramEnd"/>
      <w:r w:rsidRPr="0050036D">
        <w:rPr>
          <w:rFonts w:cstheme="minorHAnsi"/>
          <w:bCs/>
          <w:color w:val="000000" w:themeColor="text1"/>
        </w:rPr>
        <w:t xml:space="preserve"> In addition to GHG saving potential, petrol-fuelled vehicles are a cleaner option among </w:t>
      </w:r>
      <w:r w:rsidR="0098135A" w:rsidRPr="0050036D">
        <w:rPr>
          <w:rFonts w:cstheme="minorHAnsi"/>
          <w:bCs/>
          <w:color w:val="000000" w:themeColor="text1"/>
        </w:rPr>
        <w:t>i</w:t>
      </w:r>
      <w:r w:rsidRPr="0050036D">
        <w:rPr>
          <w:rFonts w:cstheme="minorHAnsi"/>
          <w:bCs/>
          <w:color w:val="000000" w:themeColor="text1"/>
        </w:rPr>
        <w:t xml:space="preserve">nternal </w:t>
      </w:r>
      <w:r w:rsidR="0098135A" w:rsidRPr="0050036D">
        <w:rPr>
          <w:rFonts w:cstheme="minorHAnsi"/>
          <w:bCs/>
          <w:color w:val="000000" w:themeColor="text1"/>
        </w:rPr>
        <w:t>c</w:t>
      </w:r>
      <w:r w:rsidRPr="0050036D">
        <w:rPr>
          <w:rFonts w:cstheme="minorHAnsi"/>
          <w:bCs/>
          <w:color w:val="000000" w:themeColor="text1"/>
        </w:rPr>
        <w:t xml:space="preserve">ombustion </w:t>
      </w:r>
      <w:r w:rsidR="0098135A" w:rsidRPr="0050036D">
        <w:rPr>
          <w:rFonts w:cstheme="minorHAnsi"/>
          <w:bCs/>
          <w:color w:val="000000" w:themeColor="text1"/>
        </w:rPr>
        <w:t>e</w:t>
      </w:r>
      <w:r w:rsidRPr="0050036D">
        <w:rPr>
          <w:rFonts w:cstheme="minorHAnsi"/>
          <w:bCs/>
          <w:color w:val="000000" w:themeColor="text1"/>
        </w:rPr>
        <w:t xml:space="preserve">ngines alternatives available today and would be even cleaner if their efficiency is improved. </w:t>
      </w:r>
    </w:p>
    <w:p w14:paraId="358EAA06" w14:textId="77777777" w:rsidR="00B37B5F" w:rsidRPr="0050036D" w:rsidRDefault="00B37B5F" w:rsidP="00B37B5F">
      <w:pPr>
        <w:spacing w:after="0" w:line="240" w:lineRule="auto"/>
        <w:jc w:val="both"/>
        <w:rPr>
          <w:rFonts w:cstheme="minorHAnsi"/>
          <w:bCs/>
          <w:color w:val="000000" w:themeColor="text1"/>
        </w:rPr>
      </w:pPr>
    </w:p>
    <w:p w14:paraId="3D1D7668" w14:textId="77777777" w:rsidR="00B37B5F" w:rsidRPr="0050036D" w:rsidRDefault="00B37B5F" w:rsidP="00B37B5F">
      <w:pPr>
        <w:pStyle w:val="ListParagraph"/>
        <w:numPr>
          <w:ilvl w:val="0"/>
          <w:numId w:val="2"/>
        </w:numPr>
        <w:jc w:val="both"/>
        <w:rPr>
          <w:rFonts w:cstheme="minorHAnsi"/>
          <w:b/>
          <w:bCs/>
          <w:color w:val="5B9BD5" w:themeColor="accent1"/>
        </w:rPr>
      </w:pPr>
      <w:r w:rsidRPr="0050036D">
        <w:rPr>
          <w:rFonts w:cstheme="minorHAnsi"/>
          <w:b/>
          <w:bCs/>
          <w:color w:val="5B9BD5" w:themeColor="accent1"/>
        </w:rPr>
        <w:t>THE REGULATION SHOULD RECOGNISE THE CO</w:t>
      </w:r>
      <w:r w:rsidRPr="0050036D">
        <w:rPr>
          <w:rFonts w:cstheme="minorHAnsi"/>
          <w:b/>
          <w:bCs/>
          <w:color w:val="5B9BD5" w:themeColor="accent1"/>
          <w:vertAlign w:val="subscript"/>
        </w:rPr>
        <w:t xml:space="preserve">2 </w:t>
      </w:r>
      <w:r w:rsidRPr="0050036D">
        <w:rPr>
          <w:rFonts w:cstheme="minorHAnsi"/>
          <w:b/>
          <w:bCs/>
          <w:color w:val="5B9BD5" w:themeColor="accent1"/>
        </w:rPr>
        <w:t xml:space="preserve">EMISSIONS REDUCTION POTENTIAL OF HIGH QUALITY/HIGH OCTANE FUELS   </w:t>
      </w:r>
    </w:p>
    <w:p w14:paraId="2E543F89" w14:textId="77777777" w:rsidR="00B37B5F" w:rsidRPr="0050036D" w:rsidRDefault="00B37B5F" w:rsidP="00B37B5F">
      <w:pPr>
        <w:jc w:val="both"/>
        <w:rPr>
          <w:rFonts w:cstheme="minorHAnsi"/>
          <w:bCs/>
          <w:color w:val="000000" w:themeColor="text1"/>
        </w:rPr>
      </w:pPr>
      <w:r w:rsidRPr="0050036D">
        <w:rPr>
          <w:rFonts w:cstheme="minorHAnsi"/>
          <w:bCs/>
          <w:color w:val="000000" w:themeColor="text1"/>
        </w:rPr>
        <w:t xml:space="preserve">High compression engines are able to extract more energy from a given quantity of fuel, provided the fuel’s octane is high enough. Simply put, higher-octane fuel enables </w:t>
      </w:r>
      <w:proofErr w:type="gramStart"/>
      <w:r w:rsidRPr="0050036D">
        <w:rPr>
          <w:rFonts w:cstheme="minorHAnsi"/>
          <w:bCs/>
          <w:color w:val="000000" w:themeColor="text1"/>
        </w:rPr>
        <w:t>more efficient engines, which can go farther, and emit less, with the same amount of fuel</w:t>
      </w:r>
      <w:proofErr w:type="gramEnd"/>
      <w:r w:rsidRPr="0050036D">
        <w:rPr>
          <w:rFonts w:cstheme="minorHAnsi"/>
          <w:bCs/>
          <w:color w:val="000000" w:themeColor="text1"/>
        </w:rPr>
        <w:t xml:space="preserve">. Unfortunately, the current testing regime does not adequately account for these advantages, </w:t>
      </w:r>
      <w:r w:rsidRPr="0050036D">
        <w:rPr>
          <w:rFonts w:cstheme="minorHAnsi"/>
          <w:b/>
          <w:bCs/>
          <w:color w:val="000000" w:themeColor="text1"/>
        </w:rPr>
        <w:t>as engines are</w:t>
      </w:r>
      <w:r w:rsidR="0098135A" w:rsidRPr="0050036D">
        <w:rPr>
          <w:rFonts w:cstheme="minorHAnsi"/>
          <w:b/>
          <w:bCs/>
          <w:color w:val="000000" w:themeColor="text1"/>
        </w:rPr>
        <w:t>, today,</w:t>
      </w:r>
      <w:r w:rsidRPr="0050036D">
        <w:rPr>
          <w:rFonts w:cstheme="minorHAnsi"/>
          <w:b/>
          <w:bCs/>
          <w:color w:val="000000" w:themeColor="text1"/>
        </w:rPr>
        <w:t xml:space="preserve"> generally tested on fuels </w:t>
      </w:r>
      <w:r w:rsidRPr="0050036D">
        <w:rPr>
          <w:rFonts w:cstheme="minorHAnsi"/>
          <w:b/>
          <w:bCs/>
          <w:color w:val="000000" w:themeColor="text1"/>
        </w:rPr>
        <w:lastRenderedPageBreak/>
        <w:t>with regular octane ratings.</w:t>
      </w:r>
      <w:r w:rsidRPr="0050036D">
        <w:rPr>
          <w:rFonts w:cstheme="minorHAnsi"/>
          <w:bCs/>
          <w:color w:val="000000" w:themeColor="text1"/>
        </w:rPr>
        <w:t xml:space="preserve"> As a result, the CO</w:t>
      </w:r>
      <w:r w:rsidRPr="0050036D">
        <w:rPr>
          <w:rFonts w:cstheme="minorHAnsi"/>
          <w:bCs/>
          <w:color w:val="000000" w:themeColor="text1"/>
          <w:vertAlign w:val="subscript"/>
        </w:rPr>
        <w:t>2</w:t>
      </w:r>
      <w:r w:rsidRPr="0050036D">
        <w:rPr>
          <w:rFonts w:cstheme="minorHAnsi"/>
          <w:bCs/>
          <w:color w:val="000000" w:themeColor="text1"/>
        </w:rPr>
        <w:t xml:space="preserve"> ratings for cars do no fully reflect the real world emissions of higher efficiency engines (i.e. higher compression ratio) running on higher-octane fuels. </w:t>
      </w:r>
    </w:p>
    <w:p w14:paraId="711636BF" w14:textId="77777777" w:rsidR="00B37B5F" w:rsidRPr="0050036D" w:rsidRDefault="00B37B5F" w:rsidP="00B37B5F">
      <w:pPr>
        <w:spacing w:after="0" w:line="240" w:lineRule="auto"/>
        <w:jc w:val="both"/>
        <w:rPr>
          <w:rFonts w:cstheme="minorHAnsi"/>
          <w:bCs/>
          <w:color w:val="000000" w:themeColor="text1"/>
        </w:rPr>
      </w:pPr>
      <w:r w:rsidRPr="0050036D">
        <w:rPr>
          <w:rFonts w:cstheme="minorHAnsi"/>
          <w:bCs/>
          <w:color w:val="000000" w:themeColor="text1"/>
        </w:rPr>
        <w:t xml:space="preserve">The </w:t>
      </w:r>
      <w:r w:rsidR="0098135A" w:rsidRPr="0050036D">
        <w:rPr>
          <w:rFonts w:cstheme="minorHAnsi"/>
          <w:bCs/>
          <w:color w:val="000000" w:themeColor="text1"/>
        </w:rPr>
        <w:t>r</w:t>
      </w:r>
      <w:r w:rsidRPr="0050036D">
        <w:rPr>
          <w:rFonts w:cstheme="minorHAnsi"/>
          <w:bCs/>
          <w:color w:val="000000" w:themeColor="text1"/>
        </w:rPr>
        <w:t>egulation on CO</w:t>
      </w:r>
      <w:r w:rsidRPr="0050036D">
        <w:rPr>
          <w:rFonts w:cstheme="minorHAnsi"/>
          <w:bCs/>
          <w:color w:val="000000" w:themeColor="text1"/>
          <w:vertAlign w:val="subscript"/>
        </w:rPr>
        <w:t>2</w:t>
      </w:r>
      <w:r w:rsidRPr="0050036D">
        <w:rPr>
          <w:rFonts w:cstheme="minorHAnsi"/>
          <w:bCs/>
          <w:color w:val="000000" w:themeColor="text1"/>
        </w:rPr>
        <w:t xml:space="preserve"> standards for cars provides a unique opportunity to incentivise the uptake of better performing higher compression engines and high octane/quality fuels, which today are an innovative, lower carbon technology solution available in the market, and to encourage consumers towards more environmentally sustainable choices. </w:t>
      </w:r>
    </w:p>
    <w:p w14:paraId="1C7911AA" w14:textId="77777777" w:rsidR="00B37B5F" w:rsidRPr="0050036D" w:rsidRDefault="00B37B5F" w:rsidP="00B37B5F">
      <w:pPr>
        <w:spacing w:after="0" w:line="240" w:lineRule="auto"/>
        <w:jc w:val="both"/>
        <w:rPr>
          <w:rFonts w:cstheme="minorHAnsi"/>
          <w:bCs/>
          <w:color w:val="000000" w:themeColor="text1"/>
        </w:rPr>
      </w:pPr>
      <w:r w:rsidRPr="0050036D">
        <w:rPr>
          <w:rFonts w:cstheme="minorHAnsi"/>
          <w:bCs/>
          <w:color w:val="000000" w:themeColor="text1"/>
        </w:rPr>
        <w:t>EFOA calls upon the European policymakers to account CO</w:t>
      </w:r>
      <w:r w:rsidRPr="0050036D">
        <w:rPr>
          <w:rFonts w:cstheme="minorHAnsi"/>
          <w:bCs/>
          <w:color w:val="000000" w:themeColor="text1"/>
          <w:vertAlign w:val="subscript"/>
        </w:rPr>
        <w:t>2</w:t>
      </w:r>
      <w:r w:rsidRPr="0050036D">
        <w:rPr>
          <w:rFonts w:cstheme="minorHAnsi"/>
          <w:bCs/>
          <w:color w:val="000000" w:themeColor="text1"/>
        </w:rPr>
        <w:t xml:space="preserve"> reduction for vehicles equipped in higher compression engines calculated on the </w:t>
      </w:r>
      <w:proofErr w:type="gramStart"/>
      <w:r w:rsidRPr="0050036D">
        <w:rPr>
          <w:rFonts w:cstheme="minorHAnsi"/>
          <w:bCs/>
          <w:color w:val="000000" w:themeColor="text1"/>
        </w:rPr>
        <w:t>average emission reduction potential</w:t>
      </w:r>
      <w:proofErr w:type="gramEnd"/>
      <w:r w:rsidRPr="0050036D">
        <w:rPr>
          <w:rFonts w:cstheme="minorHAnsi"/>
          <w:bCs/>
          <w:color w:val="000000" w:themeColor="text1"/>
        </w:rPr>
        <w:t xml:space="preserve"> of higher-octane fuels.</w:t>
      </w:r>
    </w:p>
    <w:p w14:paraId="6BA75D14" w14:textId="77777777" w:rsidR="00B37B5F" w:rsidRPr="0050036D" w:rsidRDefault="00B37B5F" w:rsidP="00B37B5F">
      <w:pPr>
        <w:spacing w:after="0"/>
        <w:jc w:val="both"/>
        <w:rPr>
          <w:rFonts w:eastAsia="Calibri" w:cstheme="minorHAnsi"/>
          <w:b/>
          <w:color w:val="000000" w:themeColor="text1"/>
        </w:rPr>
      </w:pPr>
    </w:p>
    <w:p w14:paraId="0EAABC8F" w14:textId="77777777" w:rsidR="00B37B5F" w:rsidRPr="0050036D" w:rsidRDefault="00B37B5F" w:rsidP="00B37B5F">
      <w:pPr>
        <w:pStyle w:val="ListParagraph"/>
        <w:numPr>
          <w:ilvl w:val="0"/>
          <w:numId w:val="2"/>
        </w:numPr>
        <w:jc w:val="both"/>
        <w:rPr>
          <w:rFonts w:cstheme="minorHAnsi"/>
          <w:b/>
          <w:bCs/>
          <w:color w:val="5B9BD5" w:themeColor="accent1"/>
        </w:rPr>
      </w:pPr>
      <w:r w:rsidRPr="0050036D">
        <w:rPr>
          <w:rFonts w:cstheme="minorHAnsi"/>
          <w:b/>
          <w:bCs/>
          <w:color w:val="5B9BD5" w:themeColor="accent1"/>
        </w:rPr>
        <w:t>ENERGY SAVED BY USING HIGH QUALITY, EFFICIENT FUELS, SUCH AS HIGH OCTANE AND HIGH ENERGY DENSITY PETROL, SHOULD BE ACCOUNTED AS RENEWABLE ENERGY EQUIVALENT</w:t>
      </w:r>
    </w:p>
    <w:p w14:paraId="471069D4" w14:textId="77777777" w:rsidR="007D0FB1" w:rsidRPr="0050036D" w:rsidRDefault="002E42AD" w:rsidP="00B24CB8">
      <w:pPr>
        <w:jc w:val="both"/>
        <w:rPr>
          <w:rFonts w:cstheme="minorHAnsi"/>
        </w:rPr>
      </w:pPr>
      <w:r w:rsidRPr="0050036D">
        <w:rPr>
          <w:rFonts w:eastAsia="Calibri" w:cstheme="minorHAnsi"/>
          <w:color w:val="000000" w:themeColor="text1"/>
        </w:rPr>
        <w:t>As h</w:t>
      </w:r>
      <w:r w:rsidR="00B37B5F" w:rsidRPr="0050036D">
        <w:rPr>
          <w:rFonts w:eastAsia="Calibri" w:cstheme="minorHAnsi"/>
          <w:color w:val="000000" w:themeColor="text1"/>
        </w:rPr>
        <w:t>igh-octane petrol</w:t>
      </w:r>
      <w:r w:rsidR="003621E7" w:rsidRPr="0050036D">
        <w:rPr>
          <w:rStyle w:val="FootnoteReference"/>
          <w:rFonts w:eastAsia="Calibri" w:cstheme="minorHAnsi"/>
          <w:color w:val="000000" w:themeColor="text1"/>
        </w:rPr>
        <w:footnoteReference w:id="3"/>
      </w:r>
      <w:r w:rsidR="00D51A9E" w:rsidRPr="0050036D">
        <w:rPr>
          <w:rFonts w:eastAsia="Calibri" w:cstheme="minorHAnsi"/>
          <w:color w:val="000000" w:themeColor="text1"/>
        </w:rPr>
        <w:t xml:space="preserve"> </w:t>
      </w:r>
      <w:r w:rsidR="001F6D66" w:rsidRPr="0050036D">
        <w:rPr>
          <w:rFonts w:eastAsia="Calibri" w:cstheme="minorHAnsi"/>
          <w:color w:val="000000" w:themeColor="text1"/>
        </w:rPr>
        <w:t xml:space="preserve">will </w:t>
      </w:r>
      <w:r w:rsidR="00B37B5F" w:rsidRPr="0050036D">
        <w:rPr>
          <w:rFonts w:eastAsia="Calibri" w:cstheme="minorHAnsi"/>
          <w:color w:val="000000" w:themeColor="text1"/>
        </w:rPr>
        <w:t xml:space="preserve">enable the uptake </w:t>
      </w:r>
      <w:r w:rsidRPr="0050036D">
        <w:rPr>
          <w:rFonts w:eastAsia="Calibri" w:cstheme="minorHAnsi"/>
          <w:color w:val="000000" w:themeColor="text1"/>
        </w:rPr>
        <w:t xml:space="preserve">of </w:t>
      </w:r>
      <w:r w:rsidR="00B37B5F" w:rsidRPr="0050036D">
        <w:rPr>
          <w:rFonts w:eastAsia="Calibri" w:cstheme="minorHAnsi"/>
          <w:color w:val="000000" w:themeColor="text1"/>
        </w:rPr>
        <w:t>highly efficient engines</w:t>
      </w:r>
      <w:r w:rsidR="00D51A9E" w:rsidRPr="0050036D">
        <w:rPr>
          <w:rFonts w:eastAsia="Calibri" w:cstheme="minorHAnsi"/>
          <w:color w:val="000000" w:themeColor="text1"/>
        </w:rPr>
        <w:t>,</w:t>
      </w:r>
      <w:r w:rsidRPr="0050036D">
        <w:rPr>
          <w:rFonts w:eastAsia="Calibri" w:cstheme="minorHAnsi"/>
          <w:color w:val="000000" w:themeColor="text1"/>
        </w:rPr>
        <w:t xml:space="preserve"> </w:t>
      </w:r>
      <w:r w:rsidR="001F6D66" w:rsidRPr="0050036D">
        <w:rPr>
          <w:rFonts w:eastAsia="Calibri" w:cstheme="minorHAnsi"/>
          <w:color w:val="000000" w:themeColor="text1"/>
        </w:rPr>
        <w:t xml:space="preserve">it will </w:t>
      </w:r>
      <w:r w:rsidRPr="0050036D">
        <w:rPr>
          <w:rFonts w:eastAsia="Calibri" w:cstheme="minorHAnsi"/>
          <w:color w:val="000000" w:themeColor="text1"/>
        </w:rPr>
        <w:t>deliver substantial</w:t>
      </w:r>
      <w:r w:rsidR="00B37B5F" w:rsidRPr="0050036D">
        <w:rPr>
          <w:rFonts w:eastAsia="Calibri" w:cstheme="minorHAnsi"/>
          <w:color w:val="000000" w:themeColor="text1"/>
        </w:rPr>
        <w:t xml:space="preserve"> GHG emissions savings</w:t>
      </w:r>
      <w:r w:rsidR="001761D7" w:rsidRPr="0050036D">
        <w:rPr>
          <w:rFonts w:eastAsia="Calibri" w:cstheme="minorHAnsi"/>
          <w:color w:val="000000" w:themeColor="text1"/>
        </w:rPr>
        <w:t xml:space="preserve"> while contributing to less air pollution</w:t>
      </w:r>
      <w:r w:rsidR="00B37B5F" w:rsidRPr="0050036D">
        <w:rPr>
          <w:rFonts w:eastAsia="Calibri" w:cstheme="minorHAnsi"/>
          <w:color w:val="000000" w:themeColor="text1"/>
        </w:rPr>
        <w:t>.</w:t>
      </w:r>
      <w:r w:rsidR="00DA78EB" w:rsidRPr="0050036D">
        <w:rPr>
          <w:rFonts w:eastAsia="Calibri" w:cstheme="minorHAnsi"/>
          <w:color w:val="000000" w:themeColor="text1"/>
        </w:rPr>
        <w:t xml:space="preserve"> </w:t>
      </w:r>
      <w:r w:rsidR="00804076" w:rsidRPr="0050036D">
        <w:rPr>
          <w:rFonts w:eastAsia="Calibri" w:cstheme="minorHAnsi"/>
          <w:color w:val="000000" w:themeColor="text1"/>
        </w:rPr>
        <w:t>As an example, a</w:t>
      </w:r>
      <w:r w:rsidR="001E4129" w:rsidRPr="0050036D">
        <w:t xml:space="preserve"> realistic 7% lower fuel consumption through higher octane would save 20 million tonnes of CO</w:t>
      </w:r>
      <w:r w:rsidR="001E4129" w:rsidRPr="0050036D">
        <w:rPr>
          <w:vertAlign w:val="subscript"/>
        </w:rPr>
        <w:t xml:space="preserve">2 </w:t>
      </w:r>
      <w:r w:rsidR="001E4129" w:rsidRPr="0050036D">
        <w:t>per year.</w:t>
      </w:r>
      <w:r w:rsidR="001E4129" w:rsidRPr="0050036D">
        <w:rPr>
          <w:b/>
        </w:rPr>
        <w:t xml:space="preserve"> </w:t>
      </w:r>
      <w:r w:rsidR="00804076" w:rsidRPr="0050036D">
        <w:rPr>
          <w:rFonts w:cstheme="minorHAnsi"/>
        </w:rPr>
        <w:t>Higher octane would also reduce emissions of benzene and Particulate Matter (PM), ensuring there is no trade</w:t>
      </w:r>
      <w:r w:rsidR="003D5D89" w:rsidRPr="0050036D">
        <w:rPr>
          <w:rFonts w:cstheme="minorHAnsi"/>
        </w:rPr>
        <w:t>-</w:t>
      </w:r>
      <w:r w:rsidR="00804076" w:rsidRPr="0050036D">
        <w:rPr>
          <w:rFonts w:cstheme="minorHAnsi"/>
        </w:rPr>
        <w:t>off between CO</w:t>
      </w:r>
      <w:r w:rsidR="00804076" w:rsidRPr="0050036D">
        <w:rPr>
          <w:rFonts w:cstheme="minorHAnsi"/>
          <w:vertAlign w:val="subscript"/>
        </w:rPr>
        <w:t>2</w:t>
      </w:r>
      <w:r w:rsidR="00804076" w:rsidRPr="0050036D">
        <w:rPr>
          <w:rFonts w:cstheme="minorHAnsi"/>
        </w:rPr>
        <w:t xml:space="preserve"> targets and air quality. </w:t>
      </w:r>
    </w:p>
    <w:p w14:paraId="5BB8C67A" w14:textId="77777777" w:rsidR="00804076" w:rsidRPr="0050036D" w:rsidRDefault="001761D7" w:rsidP="00B24CB8">
      <w:pPr>
        <w:jc w:val="both"/>
        <w:rPr>
          <w:rFonts w:eastAsia="Calibri" w:cstheme="minorHAnsi"/>
          <w:color w:val="000000" w:themeColor="text1"/>
        </w:rPr>
      </w:pPr>
      <w:r w:rsidRPr="0050036D">
        <w:rPr>
          <w:rFonts w:eastAsia="Calibri" w:cstheme="minorHAnsi"/>
          <w:color w:val="000000" w:themeColor="text1"/>
        </w:rPr>
        <w:t>This</w:t>
      </w:r>
      <w:r w:rsidR="00926818" w:rsidRPr="0050036D">
        <w:rPr>
          <w:rFonts w:eastAsia="Calibri" w:cstheme="minorHAnsi"/>
          <w:color w:val="000000" w:themeColor="text1"/>
        </w:rPr>
        <w:t xml:space="preserve"> solution will bring not only environmental advantages but will </w:t>
      </w:r>
      <w:r w:rsidR="00A36091" w:rsidRPr="0050036D">
        <w:rPr>
          <w:rFonts w:eastAsia="Calibri" w:cstheme="minorHAnsi"/>
          <w:color w:val="000000" w:themeColor="text1"/>
        </w:rPr>
        <w:t xml:space="preserve">also </w:t>
      </w:r>
      <w:r w:rsidR="00B37B5F" w:rsidRPr="0050036D">
        <w:rPr>
          <w:rFonts w:eastAsia="Calibri" w:cstheme="minorHAnsi"/>
          <w:color w:val="000000" w:themeColor="text1"/>
        </w:rPr>
        <w:t>benefit consumers, as vehicle owner</w:t>
      </w:r>
      <w:r w:rsidRPr="0050036D">
        <w:rPr>
          <w:rFonts w:eastAsia="Calibri" w:cstheme="minorHAnsi"/>
          <w:color w:val="000000" w:themeColor="text1"/>
        </w:rPr>
        <w:t xml:space="preserve"> will use less petrol and </w:t>
      </w:r>
      <w:r w:rsidR="00B37B5F" w:rsidRPr="0050036D">
        <w:rPr>
          <w:rFonts w:eastAsia="Calibri" w:cstheme="minorHAnsi"/>
          <w:color w:val="000000" w:themeColor="text1"/>
        </w:rPr>
        <w:t xml:space="preserve">drive more kilometres with the same amount of fuel. </w:t>
      </w:r>
      <w:r w:rsidR="00804076" w:rsidRPr="0050036D">
        <w:rPr>
          <w:rFonts w:eastAsia="Calibri" w:cstheme="minorHAnsi"/>
          <w:color w:val="000000" w:themeColor="text1"/>
        </w:rPr>
        <w:t xml:space="preserve">In fact, </w:t>
      </w:r>
      <w:r w:rsidR="00730F54" w:rsidRPr="0050036D">
        <w:rPr>
          <w:rFonts w:eastAsia="Calibri" w:cstheme="minorHAnsi"/>
          <w:color w:val="000000" w:themeColor="text1"/>
        </w:rPr>
        <w:t xml:space="preserve">for instance </w:t>
      </w:r>
      <w:r w:rsidR="00920A06" w:rsidRPr="0050036D">
        <w:rPr>
          <w:rFonts w:ascii="Calibri" w:eastAsia="Times New Roman" w:hAnsi="Calibri"/>
          <w:bCs/>
          <w:iCs/>
        </w:rPr>
        <w:t>fuel ethers,</w:t>
      </w:r>
      <w:r w:rsidR="00920A06" w:rsidRPr="0050036D">
        <w:rPr>
          <w:rFonts w:eastAsia="Calibri" w:cstheme="minorHAnsi"/>
          <w:color w:val="000000" w:themeColor="text1"/>
        </w:rPr>
        <w:t xml:space="preserve"> blending components of petrol</w:t>
      </w:r>
      <w:r w:rsidR="00730F54" w:rsidRPr="0050036D">
        <w:rPr>
          <w:rFonts w:ascii="Calibri" w:eastAsia="Times New Roman" w:hAnsi="Calibri"/>
          <w:bCs/>
          <w:iCs/>
        </w:rPr>
        <w:t>, when compared to other commonly used oxygenated octane improving blend-stocks, contribute up to 30% more fuel energy efficiency/mileage.</w:t>
      </w:r>
    </w:p>
    <w:p w14:paraId="5AA315B4" w14:textId="77777777" w:rsidR="00B37B5F" w:rsidRPr="0050036D" w:rsidRDefault="002E36C0" w:rsidP="00B24CB8">
      <w:pPr>
        <w:jc w:val="both"/>
        <w:rPr>
          <w:rFonts w:eastAsia="Calibri" w:cstheme="minorHAnsi"/>
          <w:color w:val="000000" w:themeColor="text1"/>
        </w:rPr>
      </w:pPr>
      <w:r w:rsidRPr="0050036D">
        <w:rPr>
          <w:rFonts w:eastAsia="Calibri" w:cstheme="minorHAnsi"/>
          <w:color w:val="000000" w:themeColor="text1"/>
        </w:rPr>
        <w:t>H</w:t>
      </w:r>
      <w:r w:rsidR="00B37B5F" w:rsidRPr="0050036D">
        <w:rPr>
          <w:rFonts w:eastAsia="Calibri" w:cstheme="minorHAnsi"/>
          <w:color w:val="000000" w:themeColor="text1"/>
        </w:rPr>
        <w:t>igher quality</w:t>
      </w:r>
      <w:r w:rsidRPr="0050036D">
        <w:rPr>
          <w:rFonts w:eastAsia="Calibri" w:cstheme="minorHAnsi"/>
          <w:color w:val="000000" w:themeColor="text1"/>
        </w:rPr>
        <w:t xml:space="preserve"> and </w:t>
      </w:r>
      <w:r w:rsidR="000D0392" w:rsidRPr="0050036D">
        <w:rPr>
          <w:rFonts w:eastAsia="Calibri" w:cstheme="minorHAnsi"/>
          <w:color w:val="000000" w:themeColor="text1"/>
        </w:rPr>
        <w:t>high-density</w:t>
      </w:r>
      <w:r w:rsidR="00B37B5F" w:rsidRPr="0050036D">
        <w:rPr>
          <w:rFonts w:eastAsia="Calibri" w:cstheme="minorHAnsi"/>
          <w:color w:val="000000" w:themeColor="text1"/>
        </w:rPr>
        <w:t xml:space="preserve"> fuels</w:t>
      </w:r>
      <w:r w:rsidR="00074F46" w:rsidRPr="0050036D">
        <w:rPr>
          <w:rFonts w:eastAsia="Calibri" w:cstheme="minorHAnsi"/>
          <w:color w:val="000000" w:themeColor="text1"/>
        </w:rPr>
        <w:t xml:space="preserve"> combined with </w:t>
      </w:r>
      <w:r w:rsidR="00B37B5F" w:rsidRPr="0050036D">
        <w:rPr>
          <w:rFonts w:eastAsia="Calibri" w:cstheme="minorHAnsi"/>
          <w:color w:val="000000" w:themeColor="text1"/>
        </w:rPr>
        <w:t>higher efficient engine</w:t>
      </w:r>
      <w:r w:rsidRPr="0050036D">
        <w:rPr>
          <w:rFonts w:eastAsia="Calibri" w:cstheme="minorHAnsi"/>
          <w:color w:val="000000" w:themeColor="text1"/>
        </w:rPr>
        <w:t>s</w:t>
      </w:r>
      <w:r w:rsidR="00B37B5F" w:rsidRPr="0050036D">
        <w:rPr>
          <w:rFonts w:eastAsia="Calibri" w:cstheme="minorHAnsi"/>
          <w:color w:val="000000" w:themeColor="text1"/>
        </w:rPr>
        <w:t xml:space="preserve"> represent</w:t>
      </w:r>
      <w:r w:rsidR="00804076" w:rsidRPr="0050036D">
        <w:rPr>
          <w:rFonts w:eastAsia="Calibri" w:cstheme="minorHAnsi"/>
          <w:color w:val="000000" w:themeColor="text1"/>
        </w:rPr>
        <w:t xml:space="preserve"> therefore </w:t>
      </w:r>
      <w:r w:rsidR="00B37B5F" w:rsidRPr="0050036D">
        <w:rPr>
          <w:rFonts w:eastAsia="Calibri" w:cstheme="minorHAnsi"/>
          <w:color w:val="000000" w:themeColor="text1"/>
        </w:rPr>
        <w:t>a</w:t>
      </w:r>
      <w:r w:rsidR="00D51A9E" w:rsidRPr="0050036D">
        <w:rPr>
          <w:rFonts w:eastAsia="Calibri" w:cstheme="minorHAnsi"/>
          <w:color w:val="000000" w:themeColor="text1"/>
        </w:rPr>
        <w:t xml:space="preserve"> </w:t>
      </w:r>
      <w:r w:rsidR="00B37B5F" w:rsidRPr="0050036D">
        <w:rPr>
          <w:rFonts w:eastAsia="Calibri" w:cstheme="minorHAnsi"/>
          <w:color w:val="000000" w:themeColor="text1"/>
        </w:rPr>
        <w:t xml:space="preserve">cost-effective solution for GHG abatement and provide an opportunity for Member States to decarbonise transport while contributing to </w:t>
      </w:r>
      <w:r w:rsidR="00B37B5F" w:rsidRPr="0050036D">
        <w:rPr>
          <w:rFonts w:cstheme="minorHAnsi"/>
          <w:color w:val="000000" w:themeColor="text1"/>
        </w:rPr>
        <w:t>reaching their renewable energy target.</w:t>
      </w:r>
      <w:r w:rsidR="00B24CB8" w:rsidRPr="0050036D">
        <w:rPr>
          <w:rFonts w:eastAsia="Calibri" w:cstheme="minorHAnsi"/>
          <w:color w:val="000000" w:themeColor="text1"/>
        </w:rPr>
        <w:t xml:space="preserve"> EFOA believes that this real saving potential </w:t>
      </w:r>
      <w:proofErr w:type="gramStart"/>
      <w:r w:rsidR="00B24CB8" w:rsidRPr="0050036D">
        <w:rPr>
          <w:rFonts w:eastAsia="Calibri" w:cstheme="minorHAnsi"/>
          <w:color w:val="000000" w:themeColor="text1"/>
        </w:rPr>
        <w:t>should be recognised</w:t>
      </w:r>
      <w:proofErr w:type="gramEnd"/>
      <w:r w:rsidR="00B24CB8" w:rsidRPr="0050036D">
        <w:rPr>
          <w:rFonts w:eastAsia="Calibri" w:cstheme="minorHAnsi"/>
          <w:color w:val="000000" w:themeColor="text1"/>
        </w:rPr>
        <w:t xml:space="preserve"> in the regulation on the CO</w:t>
      </w:r>
      <w:r w:rsidR="00B24CB8" w:rsidRPr="0050036D">
        <w:rPr>
          <w:rFonts w:eastAsia="Calibri" w:cstheme="minorHAnsi"/>
          <w:color w:val="000000" w:themeColor="text1"/>
          <w:vertAlign w:val="subscript"/>
        </w:rPr>
        <w:t>2</w:t>
      </w:r>
      <w:r w:rsidR="00B24CB8" w:rsidRPr="0050036D">
        <w:rPr>
          <w:rFonts w:eastAsia="Calibri" w:cstheme="minorHAnsi"/>
          <w:color w:val="000000" w:themeColor="text1"/>
        </w:rPr>
        <w:t xml:space="preserve"> standards for light-duty vehicles. One of the ways to do so is for the</w:t>
      </w:r>
      <w:r w:rsidR="00B37B5F" w:rsidRPr="0050036D">
        <w:rPr>
          <w:rFonts w:eastAsia="Calibri" w:cstheme="minorHAnsi"/>
          <w:color w:val="000000" w:themeColor="text1"/>
        </w:rPr>
        <w:t xml:space="preserve"> policymakers to count the energy saved from using higher quality petrol in transport as renewable energy equivalent.</w:t>
      </w:r>
      <w:r w:rsidR="00B24CB8" w:rsidRPr="0050036D">
        <w:rPr>
          <w:rFonts w:eastAsia="Calibri" w:cstheme="minorHAnsi"/>
          <w:color w:val="000000" w:themeColor="text1"/>
        </w:rPr>
        <w:t xml:space="preserve">  </w:t>
      </w:r>
      <w:r w:rsidR="00095F9E" w:rsidRPr="0050036D">
        <w:rPr>
          <w:rFonts w:eastAsia="Calibri" w:cstheme="minorHAnsi"/>
          <w:color w:val="000000" w:themeColor="text1"/>
        </w:rPr>
        <w:t xml:space="preserve">  </w:t>
      </w:r>
    </w:p>
    <w:p w14:paraId="7EAC1F5A" w14:textId="77777777" w:rsidR="0021387B" w:rsidRPr="0050036D" w:rsidRDefault="00EF56D8" w:rsidP="00F440E9">
      <w:pPr>
        <w:pStyle w:val="ListParagraph"/>
        <w:numPr>
          <w:ilvl w:val="0"/>
          <w:numId w:val="2"/>
        </w:numPr>
        <w:jc w:val="both"/>
        <w:rPr>
          <w:rFonts w:eastAsia="Calibri" w:cstheme="minorHAnsi"/>
          <w:color w:val="000000" w:themeColor="text1"/>
        </w:rPr>
      </w:pPr>
      <w:r w:rsidRPr="0050036D">
        <w:rPr>
          <w:rFonts w:cstheme="minorHAnsi"/>
          <w:b/>
          <w:bCs/>
          <w:color w:val="5B9BD5" w:themeColor="accent1"/>
        </w:rPr>
        <w:t>EFOA PROPOSAL</w:t>
      </w:r>
      <w:r w:rsidR="00C941D4" w:rsidRPr="0050036D">
        <w:rPr>
          <w:rFonts w:cstheme="minorHAnsi"/>
          <w:b/>
          <w:bCs/>
          <w:color w:val="5B9BD5" w:themeColor="accent1"/>
        </w:rPr>
        <w:t xml:space="preserve"> FOR AMENDMENTS</w:t>
      </w:r>
      <w:r w:rsidR="00B37B5F" w:rsidRPr="0050036D">
        <w:rPr>
          <w:rFonts w:eastAsia="Calibri" w:cstheme="minorHAnsi"/>
          <w:color w:val="000000" w:themeColor="text1"/>
        </w:rPr>
        <w:t xml:space="preserve"> </w:t>
      </w:r>
    </w:p>
    <w:p w14:paraId="3D847CFF" w14:textId="10CC530D" w:rsidR="00B37B5F" w:rsidRPr="0050036D" w:rsidRDefault="00B37B5F" w:rsidP="0021387B">
      <w:pPr>
        <w:pStyle w:val="ListParagraph"/>
        <w:ind w:left="360"/>
        <w:jc w:val="both"/>
        <w:rPr>
          <w:rFonts w:eastAsia="Calibri" w:cstheme="minorHAnsi"/>
          <w:color w:val="000000" w:themeColor="text1"/>
        </w:rPr>
      </w:pPr>
      <w:r w:rsidRPr="0050036D">
        <w:rPr>
          <w:rFonts w:eastAsia="Calibri" w:cstheme="minorHAnsi"/>
          <w:color w:val="000000" w:themeColor="text1"/>
        </w:rPr>
        <w:t>S</w:t>
      </w:r>
      <w:r w:rsidR="0021387B" w:rsidRPr="0050036D">
        <w:rPr>
          <w:rFonts w:eastAsia="Calibri" w:cstheme="minorHAnsi"/>
          <w:color w:val="000000" w:themeColor="text1"/>
        </w:rPr>
        <w:t xml:space="preserve">ee </w:t>
      </w:r>
      <w:r w:rsidR="00C941D4" w:rsidRPr="0050036D">
        <w:rPr>
          <w:rFonts w:eastAsia="Calibri" w:cstheme="minorHAnsi"/>
          <w:color w:val="000000" w:themeColor="text1"/>
        </w:rPr>
        <w:t>p. 3</w:t>
      </w:r>
      <w:r w:rsidR="006F3E54" w:rsidRPr="0050036D">
        <w:rPr>
          <w:rFonts w:eastAsia="Calibri" w:cstheme="minorHAnsi"/>
          <w:color w:val="000000" w:themeColor="text1"/>
        </w:rPr>
        <w:t>-5</w:t>
      </w:r>
    </w:p>
    <w:p w14:paraId="1EBC1DFA" w14:textId="77777777" w:rsidR="00B37B5F" w:rsidRPr="0050036D" w:rsidRDefault="00B37B5F" w:rsidP="00B37B5F">
      <w:pPr>
        <w:spacing w:after="0"/>
        <w:jc w:val="both"/>
        <w:rPr>
          <w:rFonts w:eastAsia="Calibri" w:cstheme="minorHAnsi"/>
          <w:b/>
          <w:color w:val="000000" w:themeColor="text1"/>
        </w:rPr>
      </w:pPr>
      <w:r w:rsidRPr="0050036D">
        <w:rPr>
          <w:rFonts w:eastAsia="Calibri" w:cstheme="minorHAnsi"/>
          <w:b/>
          <w:color w:val="000000" w:themeColor="text1"/>
        </w:rPr>
        <w:t xml:space="preserve">ABOUT FUEL ETHERS </w:t>
      </w:r>
    </w:p>
    <w:p w14:paraId="31D6C368" w14:textId="584F01D7" w:rsidR="00B37B5F" w:rsidRPr="0050036D" w:rsidRDefault="00B37B5F" w:rsidP="00B37B5F">
      <w:pPr>
        <w:spacing w:after="0"/>
        <w:jc w:val="both"/>
        <w:rPr>
          <w:rStyle w:val="A0"/>
          <w:rFonts w:cstheme="minorHAnsi"/>
          <w:color w:val="000000" w:themeColor="text1"/>
          <w:sz w:val="20"/>
          <w:szCs w:val="22"/>
        </w:rPr>
      </w:pPr>
      <w:r w:rsidRPr="0050036D">
        <w:rPr>
          <w:rStyle w:val="A0"/>
          <w:rFonts w:cstheme="minorHAnsi"/>
          <w:color w:val="000000" w:themeColor="text1"/>
          <w:sz w:val="20"/>
          <w:szCs w:val="22"/>
        </w:rPr>
        <w:t>Fuel ethers (</w:t>
      </w:r>
      <w:r w:rsidR="00F030FC" w:rsidRPr="0050036D">
        <w:rPr>
          <w:rStyle w:val="A0"/>
          <w:rFonts w:cstheme="minorHAnsi"/>
          <w:color w:val="000000" w:themeColor="text1"/>
          <w:sz w:val="20"/>
          <w:szCs w:val="22"/>
        </w:rPr>
        <w:t>MTBE,</w:t>
      </w:r>
      <w:r w:rsidR="00607C11" w:rsidRPr="0050036D">
        <w:rPr>
          <w:rStyle w:val="A0"/>
          <w:rFonts w:cstheme="minorHAnsi"/>
          <w:color w:val="000000" w:themeColor="text1"/>
          <w:sz w:val="20"/>
          <w:szCs w:val="22"/>
        </w:rPr>
        <w:t xml:space="preserve"> </w:t>
      </w:r>
      <w:r w:rsidRPr="0050036D">
        <w:rPr>
          <w:rStyle w:val="A0"/>
          <w:rFonts w:cstheme="minorHAnsi"/>
          <w:color w:val="000000" w:themeColor="text1"/>
          <w:sz w:val="20"/>
          <w:szCs w:val="22"/>
        </w:rPr>
        <w:t>bio-MTBE, bio-ETBE,</w:t>
      </w:r>
      <w:r w:rsidR="00607C11" w:rsidRPr="0050036D">
        <w:rPr>
          <w:rStyle w:val="A0"/>
          <w:rFonts w:cstheme="minorHAnsi"/>
          <w:color w:val="000000" w:themeColor="text1"/>
          <w:sz w:val="20"/>
          <w:szCs w:val="22"/>
        </w:rPr>
        <w:t xml:space="preserve"> TAME,</w:t>
      </w:r>
      <w:r w:rsidRPr="0050036D">
        <w:rPr>
          <w:rStyle w:val="A0"/>
          <w:rFonts w:cstheme="minorHAnsi"/>
          <w:color w:val="000000" w:themeColor="text1"/>
          <w:sz w:val="20"/>
          <w:szCs w:val="22"/>
        </w:rPr>
        <w:t xml:space="preserve"> bio-TAME and bio-TAEE) are among the most efficient blending components of petrol. They enhance vehicles’ engine performance while reducing toxic exhaust emissions and improving air quality.</w:t>
      </w:r>
    </w:p>
    <w:p w14:paraId="589D5E09" w14:textId="5832DD1B" w:rsidR="00B37B5F" w:rsidRPr="0050036D" w:rsidRDefault="00B37B5F" w:rsidP="00B37B5F">
      <w:pPr>
        <w:spacing w:after="0"/>
        <w:jc w:val="both"/>
        <w:rPr>
          <w:rFonts w:eastAsia="Calibri" w:cstheme="minorHAnsi"/>
          <w:b/>
          <w:color w:val="000000" w:themeColor="text1"/>
        </w:rPr>
      </w:pPr>
      <w:r w:rsidRPr="0050036D">
        <w:rPr>
          <w:rFonts w:eastAsia="Calibri" w:cstheme="minorHAnsi"/>
          <w:b/>
          <w:color w:val="000000" w:themeColor="text1"/>
        </w:rPr>
        <w:t xml:space="preserve">ABOUT EFOA </w:t>
      </w:r>
    </w:p>
    <w:p w14:paraId="2455F340" w14:textId="2FE5161F" w:rsidR="00B37B5F" w:rsidRPr="0050036D" w:rsidRDefault="00644685" w:rsidP="00B37B5F">
      <w:pPr>
        <w:spacing w:after="0"/>
        <w:jc w:val="both"/>
        <w:rPr>
          <w:rStyle w:val="A0"/>
          <w:rFonts w:cstheme="minorHAnsi"/>
          <w:color w:val="000000" w:themeColor="text1"/>
          <w:sz w:val="20"/>
          <w:szCs w:val="22"/>
        </w:rPr>
      </w:pPr>
      <w:r w:rsidRPr="0050036D">
        <w:rPr>
          <w:rStyle w:val="A0"/>
          <w:rFonts w:cstheme="minorHAnsi"/>
          <w:color w:val="000000" w:themeColor="text1"/>
          <w:sz w:val="20"/>
          <w:szCs w:val="22"/>
        </w:rPr>
        <w:t xml:space="preserve">EFOA, the association of the European fuel ethers industry, is dedicated to the responsible production, usage and promotion of clean, high quality, high-efficiency petrol components. EFOA works to ensure that a wide range of technology options for decarbonising and increasing efficiency in transport </w:t>
      </w:r>
      <w:proofErr w:type="gramStart"/>
      <w:r w:rsidRPr="0050036D">
        <w:rPr>
          <w:rStyle w:val="A0"/>
          <w:rFonts w:cstheme="minorHAnsi"/>
          <w:color w:val="000000" w:themeColor="text1"/>
          <w:sz w:val="20"/>
          <w:szCs w:val="22"/>
        </w:rPr>
        <w:t>are kept</w:t>
      </w:r>
      <w:proofErr w:type="gramEnd"/>
      <w:r w:rsidRPr="0050036D">
        <w:rPr>
          <w:rStyle w:val="A0"/>
          <w:rFonts w:cstheme="minorHAnsi"/>
          <w:color w:val="000000" w:themeColor="text1"/>
          <w:sz w:val="20"/>
          <w:szCs w:val="22"/>
        </w:rPr>
        <w:t xml:space="preserve"> on the table, with fuel ethers being an essential part of the solution.</w:t>
      </w:r>
      <w:r w:rsidR="00497AD2" w:rsidRPr="0050036D">
        <w:rPr>
          <w:rStyle w:val="A0"/>
          <w:rFonts w:cstheme="minorHAnsi"/>
          <w:color w:val="000000" w:themeColor="text1"/>
          <w:sz w:val="20"/>
          <w:szCs w:val="22"/>
        </w:rPr>
        <w:t xml:space="preserve"> </w:t>
      </w:r>
      <w:r w:rsidR="00B37B5F" w:rsidRPr="0050036D">
        <w:rPr>
          <w:rStyle w:val="A0"/>
          <w:rFonts w:cstheme="minorHAnsi"/>
          <w:color w:val="000000" w:themeColor="text1"/>
          <w:sz w:val="20"/>
          <w:szCs w:val="22"/>
        </w:rPr>
        <w:t xml:space="preserve">For more </w:t>
      </w:r>
      <w:proofErr w:type="gramStart"/>
      <w:r w:rsidR="00B37B5F" w:rsidRPr="0050036D">
        <w:rPr>
          <w:rStyle w:val="A0"/>
          <w:rFonts w:cstheme="minorHAnsi"/>
          <w:color w:val="000000" w:themeColor="text1"/>
          <w:sz w:val="20"/>
          <w:szCs w:val="22"/>
        </w:rPr>
        <w:t>information</w:t>
      </w:r>
      <w:proofErr w:type="gramEnd"/>
      <w:r w:rsidR="00B37B5F" w:rsidRPr="0050036D">
        <w:rPr>
          <w:rStyle w:val="A0"/>
          <w:rFonts w:cstheme="minorHAnsi"/>
          <w:color w:val="000000" w:themeColor="text1"/>
          <w:sz w:val="20"/>
          <w:szCs w:val="22"/>
        </w:rPr>
        <w:t xml:space="preserve"> visit our website </w:t>
      </w:r>
      <w:hyperlink r:id="rId8" w:history="1">
        <w:r w:rsidR="00B37B5F" w:rsidRPr="0050036D">
          <w:rPr>
            <w:rStyle w:val="A0"/>
            <w:rFonts w:cstheme="minorHAnsi"/>
            <w:color w:val="000000" w:themeColor="text1"/>
            <w:sz w:val="20"/>
            <w:szCs w:val="22"/>
          </w:rPr>
          <w:t>www.efoa.eu</w:t>
        </w:r>
      </w:hyperlink>
      <w:r w:rsidR="00B806E9" w:rsidRPr="0050036D">
        <w:rPr>
          <w:rStyle w:val="A0"/>
          <w:rFonts w:cstheme="minorHAnsi"/>
          <w:color w:val="000000" w:themeColor="text1"/>
          <w:sz w:val="20"/>
          <w:szCs w:val="22"/>
        </w:rPr>
        <w:t>.</w:t>
      </w:r>
    </w:p>
    <w:p w14:paraId="59682F71" w14:textId="7ECC0E40" w:rsidR="00E4421B" w:rsidRPr="0050036D" w:rsidRDefault="00B37B5F" w:rsidP="0050036D">
      <w:pPr>
        <w:jc w:val="center"/>
        <w:rPr>
          <w:rFonts w:asciiTheme="majorHAnsi" w:hAnsiTheme="majorHAnsi" w:cstheme="majorHAnsi"/>
          <w:b/>
          <w:bCs/>
          <w:color w:val="5B9BD5" w:themeColor="accent1"/>
        </w:rPr>
      </w:pPr>
      <w:r w:rsidRPr="0050036D">
        <w:rPr>
          <w:rFonts w:cstheme="minorHAnsi"/>
          <w:b/>
          <w:color w:val="0070C0"/>
        </w:rPr>
        <w:br w:type="page"/>
      </w:r>
      <w:r w:rsidR="00002BA8" w:rsidRPr="00002BA8">
        <w:rPr>
          <w:rFonts w:asciiTheme="majorHAnsi" w:hAnsiTheme="majorHAnsi" w:cstheme="majorHAnsi"/>
          <w:b/>
          <w:color w:val="5B9BD5" w:themeColor="accent1"/>
          <w:sz w:val="32"/>
          <w:szCs w:val="28"/>
        </w:rPr>
        <w:lastRenderedPageBreak/>
        <w:t xml:space="preserve">ENVI </w:t>
      </w:r>
      <w:r w:rsidRPr="0050036D">
        <w:rPr>
          <w:rFonts w:asciiTheme="majorHAnsi" w:hAnsiTheme="majorHAnsi" w:cstheme="majorHAnsi"/>
          <w:b/>
          <w:color w:val="5B9BD5" w:themeColor="accent1"/>
          <w:sz w:val="32"/>
          <w:szCs w:val="28"/>
        </w:rPr>
        <w:t>AMENDMENTS SUPPORTED BY EFOA</w:t>
      </w:r>
      <w:r w:rsidR="00E4421B" w:rsidRPr="0050036D">
        <w:rPr>
          <w:rFonts w:asciiTheme="majorHAnsi" w:hAnsiTheme="majorHAnsi" w:cstheme="majorHAnsi"/>
          <w:b/>
          <w:color w:val="5B9BD5" w:themeColor="accent1"/>
          <w:sz w:val="32"/>
          <w:szCs w:val="28"/>
        </w:rPr>
        <w:t xml:space="preserve"> AND ACEA</w:t>
      </w:r>
      <w:r w:rsidR="009126F1" w:rsidRPr="0050036D">
        <w:rPr>
          <w:rStyle w:val="FootnoteReference"/>
          <w:rFonts w:asciiTheme="majorHAnsi" w:hAnsiTheme="majorHAnsi" w:cstheme="majorHAnsi"/>
          <w:b/>
          <w:color w:val="5B9BD5" w:themeColor="accent1"/>
          <w:sz w:val="32"/>
          <w:szCs w:val="28"/>
        </w:rPr>
        <w:footnoteReference w:id="4"/>
      </w:r>
    </w:p>
    <w:tbl>
      <w:tblPr>
        <w:tblStyle w:val="TableGrid"/>
        <w:tblW w:w="0" w:type="auto"/>
        <w:tblLook w:val="04A0" w:firstRow="1" w:lastRow="0" w:firstColumn="1" w:lastColumn="0" w:noHBand="0" w:noVBand="1"/>
      </w:tblPr>
      <w:tblGrid>
        <w:gridCol w:w="1795"/>
        <w:gridCol w:w="7221"/>
      </w:tblGrid>
      <w:tr w:rsidR="00E4421B" w:rsidRPr="00002BA8" w14:paraId="47DB371B" w14:textId="77777777" w:rsidTr="00D67710">
        <w:trPr>
          <w:trHeight w:val="743"/>
        </w:trPr>
        <w:tc>
          <w:tcPr>
            <w:tcW w:w="1795" w:type="dxa"/>
          </w:tcPr>
          <w:p w14:paraId="1E92EE6B" w14:textId="77777777" w:rsidR="00E4421B" w:rsidRPr="0050036D" w:rsidRDefault="00E4421B" w:rsidP="00B55850">
            <w:pPr>
              <w:spacing w:before="120" w:after="120"/>
              <w:jc w:val="center"/>
              <w:rPr>
                <w:rFonts w:asciiTheme="majorHAnsi" w:hAnsiTheme="majorHAnsi" w:cstheme="majorHAnsi"/>
                <w:b/>
              </w:rPr>
            </w:pPr>
            <w:r w:rsidRPr="0050036D">
              <w:rPr>
                <w:rFonts w:asciiTheme="majorHAnsi" w:hAnsiTheme="majorHAnsi" w:cstheme="majorHAnsi"/>
                <w:b/>
              </w:rPr>
              <w:t>Commission proposal</w:t>
            </w:r>
          </w:p>
        </w:tc>
        <w:tc>
          <w:tcPr>
            <w:tcW w:w="7221" w:type="dxa"/>
          </w:tcPr>
          <w:p w14:paraId="05D141F0" w14:textId="5A0A22F4" w:rsidR="00E4421B" w:rsidRPr="00002BA8" w:rsidRDefault="009936A6" w:rsidP="00B55850">
            <w:pPr>
              <w:spacing w:before="120" w:after="120"/>
              <w:jc w:val="center"/>
              <w:rPr>
                <w:rFonts w:asciiTheme="majorHAnsi" w:hAnsiTheme="majorHAnsi" w:cstheme="majorHAnsi"/>
                <w:b/>
                <w:lang w:val="fr-BE"/>
              </w:rPr>
            </w:pPr>
            <w:proofErr w:type="spellStart"/>
            <w:r w:rsidRPr="00002BA8">
              <w:rPr>
                <w:rFonts w:asciiTheme="majorHAnsi" w:hAnsiTheme="majorHAnsi" w:cstheme="majorHAnsi"/>
                <w:b/>
                <w:lang w:val="fr-BE"/>
              </w:rPr>
              <w:t>Amendment</w:t>
            </w:r>
            <w:proofErr w:type="spellEnd"/>
            <w:r w:rsidR="00797FDF" w:rsidRPr="00002BA8">
              <w:rPr>
                <w:rFonts w:asciiTheme="majorHAnsi" w:hAnsiTheme="majorHAnsi" w:cstheme="majorHAnsi"/>
                <w:b/>
                <w:lang w:val="fr-BE"/>
              </w:rPr>
              <w:t xml:space="preserve"> 146</w:t>
            </w:r>
            <w:r w:rsidR="00F55767" w:rsidRPr="00002BA8">
              <w:rPr>
                <w:rFonts w:asciiTheme="majorHAnsi" w:hAnsiTheme="majorHAnsi" w:cstheme="majorHAnsi"/>
                <w:b/>
                <w:lang w:val="fr-BE"/>
              </w:rPr>
              <w:t>, Elisabetta Gardini</w:t>
            </w:r>
            <w:r w:rsidR="00C979A5" w:rsidRPr="00002BA8">
              <w:rPr>
                <w:rFonts w:asciiTheme="majorHAnsi" w:hAnsiTheme="majorHAnsi" w:cstheme="majorHAnsi"/>
                <w:b/>
                <w:lang w:val="fr-BE"/>
              </w:rPr>
              <w:t xml:space="preserve"> (EPP, Italy)</w:t>
            </w:r>
          </w:p>
        </w:tc>
      </w:tr>
      <w:tr w:rsidR="00E4421B" w:rsidRPr="0050036D" w14:paraId="4CDF45B6" w14:textId="77777777" w:rsidTr="00E4421B">
        <w:tc>
          <w:tcPr>
            <w:tcW w:w="1795" w:type="dxa"/>
          </w:tcPr>
          <w:p w14:paraId="3FDDD303" w14:textId="75424163" w:rsidR="00E4421B" w:rsidRPr="0050036D" w:rsidRDefault="00797FDF" w:rsidP="00B55850">
            <w:pPr>
              <w:spacing w:before="120" w:after="120"/>
              <w:rPr>
                <w:rFonts w:asciiTheme="majorHAnsi" w:hAnsiTheme="majorHAnsi" w:cstheme="majorHAnsi"/>
                <w:b/>
              </w:rPr>
            </w:pPr>
            <w:r w:rsidRPr="0050036D">
              <w:rPr>
                <w:rFonts w:asciiTheme="majorHAnsi" w:hAnsiTheme="majorHAnsi" w:cstheme="majorHAnsi"/>
                <w:b/>
              </w:rPr>
              <w:t>Recital 20 a</w:t>
            </w:r>
            <w:r w:rsidR="00E4421B" w:rsidRPr="0050036D">
              <w:rPr>
                <w:rFonts w:asciiTheme="majorHAnsi" w:hAnsiTheme="majorHAnsi" w:cstheme="majorHAnsi"/>
                <w:b/>
              </w:rPr>
              <w:t xml:space="preserve"> (new)</w:t>
            </w:r>
          </w:p>
        </w:tc>
        <w:tc>
          <w:tcPr>
            <w:tcW w:w="7221" w:type="dxa"/>
          </w:tcPr>
          <w:p w14:paraId="3BF4E984" w14:textId="54016AAA" w:rsidR="00E4421B" w:rsidRPr="0050036D" w:rsidRDefault="00797FDF" w:rsidP="00B55850">
            <w:pPr>
              <w:pStyle w:val="Default"/>
              <w:spacing w:before="120" w:after="120"/>
              <w:rPr>
                <w:rFonts w:asciiTheme="majorHAnsi" w:hAnsiTheme="majorHAnsi" w:cstheme="majorHAnsi"/>
                <w:i/>
                <w:iCs/>
                <w:sz w:val="22"/>
                <w:szCs w:val="22"/>
              </w:rPr>
            </w:pPr>
            <w:r w:rsidRPr="0050036D">
              <w:rPr>
                <w:rFonts w:asciiTheme="majorHAnsi" w:hAnsiTheme="majorHAnsi" w:cstheme="majorHAnsi"/>
                <w:i/>
                <w:iCs/>
                <w:sz w:val="22"/>
                <w:szCs w:val="22"/>
              </w:rPr>
              <w:t>A new Recital 20</w:t>
            </w:r>
            <w:r w:rsidR="00C979A5" w:rsidRPr="0050036D">
              <w:rPr>
                <w:rFonts w:asciiTheme="majorHAnsi" w:hAnsiTheme="majorHAnsi" w:cstheme="majorHAnsi"/>
                <w:i/>
                <w:iCs/>
                <w:sz w:val="22"/>
                <w:szCs w:val="22"/>
              </w:rPr>
              <w:t xml:space="preserve"> </w:t>
            </w:r>
            <w:r w:rsidRPr="0050036D">
              <w:rPr>
                <w:rFonts w:asciiTheme="majorHAnsi" w:hAnsiTheme="majorHAnsi" w:cstheme="majorHAnsi"/>
                <w:i/>
                <w:iCs/>
                <w:sz w:val="22"/>
                <w:szCs w:val="22"/>
              </w:rPr>
              <w:t xml:space="preserve">a </w:t>
            </w:r>
            <w:r w:rsidR="00E4421B" w:rsidRPr="0050036D">
              <w:rPr>
                <w:rFonts w:asciiTheme="majorHAnsi" w:hAnsiTheme="majorHAnsi" w:cstheme="majorHAnsi"/>
                <w:i/>
                <w:iCs/>
                <w:sz w:val="22"/>
                <w:szCs w:val="22"/>
              </w:rPr>
              <w:t xml:space="preserve"> is inserted, as follows:</w:t>
            </w:r>
          </w:p>
          <w:p w14:paraId="3DAF351C" w14:textId="6F84A9F1" w:rsidR="00E4421B" w:rsidRPr="0050036D" w:rsidRDefault="00797FDF" w:rsidP="00B55850">
            <w:pPr>
              <w:pStyle w:val="Default"/>
              <w:spacing w:before="120" w:after="120"/>
              <w:ind w:left="463" w:hanging="463"/>
              <w:rPr>
                <w:rFonts w:asciiTheme="majorHAnsi" w:hAnsiTheme="majorHAnsi" w:cstheme="majorHAnsi"/>
                <w:b/>
                <w:iCs/>
                <w:sz w:val="22"/>
                <w:szCs w:val="22"/>
                <w:u w:val="single"/>
              </w:rPr>
            </w:pPr>
            <w:r w:rsidRPr="0050036D">
              <w:rPr>
                <w:rFonts w:asciiTheme="majorHAnsi" w:hAnsiTheme="majorHAnsi" w:cstheme="majorHAnsi"/>
                <w:iCs/>
                <w:sz w:val="22"/>
                <w:szCs w:val="22"/>
              </w:rPr>
              <w:t>‘(20 a</w:t>
            </w:r>
            <w:r w:rsidR="00E4421B" w:rsidRPr="0050036D">
              <w:rPr>
                <w:rFonts w:asciiTheme="majorHAnsi" w:hAnsiTheme="majorHAnsi" w:cstheme="majorHAnsi"/>
                <w:iCs/>
                <w:sz w:val="22"/>
                <w:szCs w:val="22"/>
              </w:rPr>
              <w:t>)</w:t>
            </w:r>
            <w:r w:rsidR="00E4421B" w:rsidRPr="0050036D">
              <w:rPr>
                <w:rFonts w:asciiTheme="majorHAnsi" w:hAnsiTheme="majorHAnsi" w:cstheme="majorHAnsi"/>
                <w:iCs/>
                <w:sz w:val="22"/>
                <w:szCs w:val="22"/>
              </w:rPr>
              <w:tab/>
            </w:r>
            <w:r w:rsidR="00E4421B" w:rsidRPr="0050036D">
              <w:rPr>
                <w:rFonts w:asciiTheme="majorHAnsi" w:hAnsiTheme="majorHAnsi" w:cstheme="majorHAnsi"/>
                <w:b/>
                <w:iCs/>
                <w:sz w:val="22"/>
                <w:szCs w:val="22"/>
                <w:u w:val="single"/>
              </w:rPr>
              <w:t xml:space="preserve">95 research octane number (RON) petrol is presently the main petrol grade available throughout the European Union. Today, around 10% of petrol in the EU has a grade higher </w:t>
            </w:r>
            <w:proofErr w:type="gramStart"/>
            <w:r w:rsidR="00E4421B" w:rsidRPr="0050036D">
              <w:rPr>
                <w:rFonts w:asciiTheme="majorHAnsi" w:hAnsiTheme="majorHAnsi" w:cstheme="majorHAnsi"/>
                <w:b/>
                <w:iCs/>
                <w:sz w:val="22"/>
                <w:szCs w:val="22"/>
                <w:u w:val="single"/>
              </w:rPr>
              <w:t>than 95 RON</w:t>
            </w:r>
            <w:proofErr w:type="gramEnd"/>
            <w:r w:rsidR="00E4421B" w:rsidRPr="0050036D">
              <w:rPr>
                <w:rFonts w:asciiTheme="majorHAnsi" w:hAnsiTheme="majorHAnsi" w:cstheme="majorHAnsi"/>
                <w:b/>
                <w:iCs/>
                <w:sz w:val="22"/>
                <w:szCs w:val="22"/>
                <w:u w:val="single"/>
              </w:rPr>
              <w:t xml:space="preserve">. It </w:t>
            </w:r>
            <w:proofErr w:type="gramStart"/>
            <w:r w:rsidR="00E4421B" w:rsidRPr="0050036D">
              <w:rPr>
                <w:rFonts w:asciiTheme="majorHAnsi" w:hAnsiTheme="majorHAnsi" w:cstheme="majorHAnsi"/>
                <w:b/>
                <w:iCs/>
                <w:sz w:val="22"/>
                <w:szCs w:val="22"/>
                <w:u w:val="single"/>
              </w:rPr>
              <w:t>is well known</w:t>
            </w:r>
            <w:proofErr w:type="gramEnd"/>
            <w:r w:rsidR="00E4421B" w:rsidRPr="0050036D">
              <w:rPr>
                <w:rFonts w:asciiTheme="majorHAnsi" w:hAnsiTheme="majorHAnsi" w:cstheme="majorHAnsi"/>
                <w:b/>
                <w:iCs/>
                <w:sz w:val="22"/>
                <w:szCs w:val="22"/>
                <w:u w:val="single"/>
              </w:rPr>
              <w:t xml:space="preserve"> that higher-octane petrol can be utilised in engines specifically designed to take advantage of the higher octane and achieve better operational efficiency that leads to lower CO2 emissions. </w:t>
            </w:r>
            <w:proofErr w:type="gramStart"/>
            <w:r w:rsidR="00E4421B" w:rsidRPr="0050036D">
              <w:rPr>
                <w:rFonts w:asciiTheme="majorHAnsi" w:hAnsiTheme="majorHAnsi" w:cstheme="majorHAnsi"/>
                <w:b/>
                <w:iCs/>
                <w:sz w:val="22"/>
                <w:szCs w:val="22"/>
                <w:u w:val="single"/>
              </w:rPr>
              <w:t xml:space="preserve">It is therefore appropriate to provide the necessary measures to ensure that petrol with a minimum octane rating of 102 is added into a new Annex of the Directive 98/70/EC </w:t>
            </w:r>
            <w:r w:rsidR="00E4421B" w:rsidRPr="0050036D">
              <w:rPr>
                <w:rFonts w:asciiTheme="majorHAnsi" w:hAnsiTheme="majorHAnsi" w:cstheme="majorHAnsi"/>
                <w:b/>
                <w:iCs/>
                <w:sz w:val="22"/>
                <w:szCs w:val="22"/>
                <w:u w:val="single"/>
                <w:vertAlign w:val="superscript"/>
              </w:rPr>
              <w:t>(1)</w:t>
            </w:r>
            <w:r w:rsidR="00E4421B" w:rsidRPr="0050036D">
              <w:rPr>
                <w:rFonts w:asciiTheme="majorHAnsi" w:hAnsiTheme="majorHAnsi" w:cstheme="majorHAnsi"/>
                <w:b/>
                <w:iCs/>
                <w:sz w:val="22"/>
                <w:szCs w:val="22"/>
                <w:u w:val="single"/>
              </w:rPr>
              <w:t xml:space="preserve"> and into an EN standard to give the clear signal that such a high-octane petrol is  available across the European Union, according to a phase-in roadmap so that vehicle manufacturers can start to prepare and introduce new engine designs to take advantage of the octane as part of their overall future CO2 reduction strategies.</w:t>
            </w:r>
            <w:proofErr w:type="gramEnd"/>
            <w:r w:rsidR="00E4421B" w:rsidRPr="0050036D">
              <w:rPr>
                <w:rFonts w:asciiTheme="majorHAnsi" w:hAnsiTheme="majorHAnsi" w:cstheme="majorHAnsi"/>
                <w:b/>
                <w:iCs/>
                <w:sz w:val="22"/>
                <w:szCs w:val="22"/>
                <w:u w:val="single"/>
              </w:rPr>
              <w:t xml:space="preserve"> Depending on the engine, high-octane petrol is suitable for use in existing petrol engines without need for adaptation and without consequences for material compatibility, thereby increasing the environmental / efficiency potential use of high-octane petrol. In this respect, Member States should consider incentives to encourage the widespread use of such high-octane petrol. The Commission shall prepare amendments to Directive 98/70/EC to introduce the specifications for high-octane petrol </w:t>
            </w:r>
            <w:proofErr w:type="gramStart"/>
            <w:r w:rsidR="00E4421B" w:rsidRPr="0050036D">
              <w:rPr>
                <w:rFonts w:asciiTheme="majorHAnsi" w:hAnsiTheme="majorHAnsi" w:cstheme="majorHAnsi"/>
                <w:b/>
                <w:iCs/>
                <w:sz w:val="22"/>
                <w:szCs w:val="22"/>
                <w:u w:val="single"/>
              </w:rPr>
              <w:t>and also</w:t>
            </w:r>
            <w:proofErr w:type="gramEnd"/>
            <w:r w:rsidR="00E4421B" w:rsidRPr="0050036D">
              <w:rPr>
                <w:rFonts w:asciiTheme="majorHAnsi" w:hAnsiTheme="majorHAnsi" w:cstheme="majorHAnsi"/>
                <w:b/>
                <w:iCs/>
                <w:sz w:val="22"/>
                <w:szCs w:val="22"/>
                <w:u w:val="single"/>
              </w:rPr>
              <w:t xml:space="preserve"> to Regulations 715/2008, 692/2009 and 2017/1151 (Euro 6) to introduce high-octane reference petrol for the measurement of official pollutant emission and CO2 values.</w:t>
            </w:r>
          </w:p>
          <w:p w14:paraId="059549F1" w14:textId="77777777" w:rsidR="00E4421B" w:rsidRPr="0050036D" w:rsidRDefault="00E4421B" w:rsidP="00B55850">
            <w:pPr>
              <w:pStyle w:val="Default"/>
              <w:spacing w:before="120" w:after="120"/>
              <w:ind w:left="463" w:hanging="463"/>
              <w:rPr>
                <w:rFonts w:asciiTheme="majorHAnsi" w:hAnsiTheme="majorHAnsi" w:cstheme="majorHAnsi"/>
                <w:iCs/>
                <w:sz w:val="22"/>
                <w:szCs w:val="22"/>
              </w:rPr>
            </w:pPr>
            <w:r w:rsidRPr="0050036D">
              <w:rPr>
                <w:rFonts w:asciiTheme="majorHAnsi" w:hAnsiTheme="majorHAnsi" w:cstheme="majorHAnsi"/>
                <w:iCs/>
                <w:sz w:val="22"/>
                <w:szCs w:val="22"/>
              </w:rPr>
              <w:t>______</w:t>
            </w:r>
          </w:p>
          <w:p w14:paraId="4B426310" w14:textId="77777777" w:rsidR="00E4421B" w:rsidRPr="0050036D" w:rsidRDefault="00E4421B" w:rsidP="00B55850">
            <w:pPr>
              <w:pStyle w:val="Default"/>
              <w:spacing w:before="120" w:after="120"/>
              <w:ind w:left="321" w:hanging="321"/>
              <w:rPr>
                <w:rFonts w:asciiTheme="majorHAnsi" w:hAnsiTheme="majorHAnsi" w:cstheme="majorHAnsi"/>
                <w:iCs/>
                <w:sz w:val="22"/>
                <w:szCs w:val="22"/>
              </w:rPr>
            </w:pPr>
            <w:r w:rsidRPr="0050036D">
              <w:rPr>
                <w:rFonts w:asciiTheme="majorHAnsi" w:hAnsiTheme="majorHAnsi" w:cstheme="majorHAnsi"/>
                <w:iCs/>
                <w:sz w:val="22"/>
                <w:szCs w:val="22"/>
                <w:vertAlign w:val="superscript"/>
              </w:rPr>
              <w:t>(1)</w:t>
            </w:r>
            <w:r w:rsidRPr="0050036D">
              <w:rPr>
                <w:rFonts w:asciiTheme="majorHAnsi" w:hAnsiTheme="majorHAnsi" w:cstheme="majorHAnsi"/>
                <w:iCs/>
                <w:sz w:val="22"/>
                <w:szCs w:val="22"/>
              </w:rPr>
              <w:tab/>
            </w:r>
            <w:r w:rsidRPr="0050036D">
              <w:rPr>
                <w:rFonts w:asciiTheme="majorHAnsi" w:hAnsiTheme="majorHAnsi" w:cstheme="majorHAnsi"/>
                <w:bCs/>
                <w:iCs/>
                <w:sz w:val="22"/>
                <w:szCs w:val="22"/>
              </w:rPr>
              <w:t>Directive 98/70/EC of the European Parliament and of the Council relating to the quality of petrol and diesel fuels, OJ L350, 28.12.1998, p.58.</w:t>
            </w:r>
          </w:p>
        </w:tc>
      </w:tr>
      <w:tr w:rsidR="00E4421B" w:rsidRPr="0050036D" w14:paraId="2FCBBD9F" w14:textId="77777777" w:rsidTr="00E4421B">
        <w:tc>
          <w:tcPr>
            <w:tcW w:w="9016" w:type="dxa"/>
            <w:gridSpan w:val="2"/>
          </w:tcPr>
          <w:p w14:paraId="2C823C59" w14:textId="77777777" w:rsidR="00E4421B" w:rsidRPr="0050036D" w:rsidRDefault="00E4421B" w:rsidP="00B55850">
            <w:pPr>
              <w:spacing w:before="120" w:after="120"/>
              <w:rPr>
                <w:rFonts w:asciiTheme="majorHAnsi" w:hAnsiTheme="majorHAnsi" w:cstheme="majorHAnsi"/>
                <w:b/>
                <w:i/>
              </w:rPr>
            </w:pPr>
            <w:r w:rsidRPr="0050036D">
              <w:rPr>
                <w:rFonts w:asciiTheme="majorHAnsi" w:hAnsiTheme="majorHAnsi" w:cstheme="majorHAnsi"/>
                <w:b/>
                <w:i/>
              </w:rPr>
              <w:t>Justification:</w:t>
            </w:r>
          </w:p>
          <w:p w14:paraId="1B51E505" w14:textId="20E61F93" w:rsidR="00E4421B" w:rsidRPr="0050036D" w:rsidRDefault="00E4421B" w:rsidP="00BF5645">
            <w:pPr>
              <w:pStyle w:val="Default"/>
              <w:spacing w:before="120" w:after="120"/>
              <w:rPr>
                <w:rFonts w:asciiTheme="majorHAnsi" w:hAnsiTheme="majorHAnsi" w:cstheme="majorHAnsi"/>
                <w:i/>
                <w:iCs/>
                <w:sz w:val="22"/>
                <w:szCs w:val="22"/>
              </w:rPr>
            </w:pPr>
            <w:r w:rsidRPr="0050036D">
              <w:rPr>
                <w:rFonts w:asciiTheme="majorHAnsi" w:hAnsiTheme="majorHAnsi" w:cstheme="majorHAnsi"/>
                <w:i/>
                <w:iCs/>
                <w:sz w:val="22"/>
                <w:szCs w:val="22"/>
              </w:rPr>
              <w:t xml:space="preserve">The </w:t>
            </w:r>
            <w:r w:rsidRPr="0050036D">
              <w:rPr>
                <w:rFonts w:asciiTheme="majorHAnsi" w:hAnsiTheme="majorHAnsi" w:cstheme="majorHAnsi"/>
                <w:b/>
                <w:i/>
                <w:iCs/>
                <w:sz w:val="22"/>
                <w:szCs w:val="22"/>
                <w:u w:val="single"/>
              </w:rPr>
              <w:t>phase-in of</w:t>
            </w:r>
            <w:r w:rsidRPr="0050036D">
              <w:rPr>
                <w:rFonts w:asciiTheme="majorHAnsi" w:hAnsiTheme="majorHAnsi" w:cstheme="majorHAnsi"/>
                <w:i/>
                <w:iCs/>
                <w:sz w:val="22"/>
                <w:szCs w:val="22"/>
              </w:rPr>
              <w:t xml:space="preserve"> high-octane petrol will be a key signal to vehicle manufacturers to develop and introduce new generation petrol engines with high-compression ratio. Such engines </w:t>
            </w:r>
            <w:r w:rsidR="00625070" w:rsidRPr="0050036D">
              <w:rPr>
                <w:rFonts w:asciiTheme="majorHAnsi" w:hAnsiTheme="majorHAnsi" w:cstheme="majorHAnsi"/>
                <w:i/>
                <w:iCs/>
                <w:sz w:val="22"/>
                <w:szCs w:val="22"/>
              </w:rPr>
              <w:t>will run</w:t>
            </w:r>
            <w:r w:rsidRPr="0050036D">
              <w:rPr>
                <w:rFonts w:asciiTheme="majorHAnsi" w:hAnsiTheme="majorHAnsi" w:cstheme="majorHAnsi"/>
                <w:i/>
                <w:iCs/>
                <w:sz w:val="22"/>
                <w:szCs w:val="22"/>
              </w:rPr>
              <w:t xml:space="preserve"> more efficiently when using high-octane petrol and thereby help reduce tailpipe CO2 emissions and air pollutants, benefiting consumers, as they will be able to run more miles on the same tank of petrol. Additionally, the Euro 6 emission regulations need to be updated with high-octane reference petrol so that official emission and CO2 values can be measured using such petrol and recorded on the vehicle’s certificate of conformity for monitoring against manufacturer-specific CO2 targets. To encourage its use Member States could consider for instance incentives (for example excise duty advantages</w:t>
            </w:r>
            <w:r w:rsidR="00797FDF" w:rsidRPr="0050036D">
              <w:rPr>
                <w:rFonts w:asciiTheme="majorHAnsi" w:hAnsiTheme="majorHAnsi" w:cstheme="majorHAnsi"/>
                <w:i/>
                <w:iCs/>
                <w:sz w:val="22"/>
                <w:szCs w:val="22"/>
              </w:rPr>
              <w:t xml:space="preserve">) to ensure high-octane petrol </w:t>
            </w:r>
            <w:r w:rsidRPr="0050036D">
              <w:rPr>
                <w:rFonts w:asciiTheme="majorHAnsi" w:hAnsiTheme="majorHAnsi" w:cstheme="majorHAnsi"/>
                <w:i/>
                <w:iCs/>
                <w:sz w:val="22"/>
                <w:szCs w:val="22"/>
              </w:rPr>
              <w:t xml:space="preserve">would become the main petrol grade in time.  </w:t>
            </w:r>
          </w:p>
        </w:tc>
      </w:tr>
    </w:tbl>
    <w:p w14:paraId="58F0B9CE" w14:textId="77777777" w:rsidR="00E4421B" w:rsidRPr="0050036D" w:rsidRDefault="00E4421B" w:rsidP="00E4421B">
      <w:pPr>
        <w:rPr>
          <w:rFonts w:asciiTheme="majorHAnsi" w:hAnsiTheme="majorHAnsi" w:cstheme="majorHAnsi"/>
        </w:rPr>
      </w:pPr>
    </w:p>
    <w:tbl>
      <w:tblPr>
        <w:tblStyle w:val="TableGrid"/>
        <w:tblpPr w:leftFromText="180" w:rightFromText="180" w:vertAnchor="page" w:horzAnchor="margin" w:tblpX="-635" w:tblpY="1341"/>
        <w:tblW w:w="9651" w:type="dxa"/>
        <w:tblLook w:val="04A0" w:firstRow="1" w:lastRow="0" w:firstColumn="1" w:lastColumn="0" w:noHBand="0" w:noVBand="1"/>
      </w:tblPr>
      <w:tblGrid>
        <w:gridCol w:w="2632"/>
        <w:gridCol w:w="7019"/>
      </w:tblGrid>
      <w:tr w:rsidR="00E4421B" w:rsidRPr="00002BA8" w14:paraId="768878D0" w14:textId="77777777" w:rsidTr="00E4421B">
        <w:tc>
          <w:tcPr>
            <w:tcW w:w="2632" w:type="dxa"/>
          </w:tcPr>
          <w:p w14:paraId="2614ED9A" w14:textId="77777777" w:rsidR="00E4421B" w:rsidRPr="0050036D" w:rsidRDefault="00E4421B" w:rsidP="00E4421B">
            <w:pPr>
              <w:spacing w:before="120" w:after="120"/>
              <w:jc w:val="center"/>
              <w:rPr>
                <w:rFonts w:asciiTheme="majorHAnsi" w:hAnsiTheme="majorHAnsi" w:cstheme="majorHAnsi"/>
                <w:b/>
              </w:rPr>
            </w:pPr>
            <w:r w:rsidRPr="0050036D">
              <w:rPr>
                <w:rFonts w:asciiTheme="majorHAnsi" w:hAnsiTheme="majorHAnsi" w:cstheme="majorHAnsi"/>
                <w:b/>
              </w:rPr>
              <w:lastRenderedPageBreak/>
              <w:t>Commission proposal</w:t>
            </w:r>
          </w:p>
        </w:tc>
        <w:tc>
          <w:tcPr>
            <w:tcW w:w="7019" w:type="dxa"/>
          </w:tcPr>
          <w:p w14:paraId="0BEBF7A7" w14:textId="349D0C33" w:rsidR="00E4421B" w:rsidRPr="00002BA8" w:rsidRDefault="00E4421B" w:rsidP="00C979A5">
            <w:pPr>
              <w:spacing w:before="120" w:after="120"/>
              <w:jc w:val="center"/>
              <w:rPr>
                <w:rFonts w:asciiTheme="majorHAnsi" w:hAnsiTheme="majorHAnsi" w:cstheme="majorHAnsi"/>
                <w:b/>
                <w:lang w:val="fr-BE"/>
              </w:rPr>
            </w:pPr>
            <w:proofErr w:type="spellStart"/>
            <w:r w:rsidRPr="00002BA8">
              <w:rPr>
                <w:rFonts w:asciiTheme="majorHAnsi" w:hAnsiTheme="majorHAnsi" w:cstheme="majorHAnsi"/>
                <w:b/>
                <w:lang w:val="fr-BE"/>
              </w:rPr>
              <w:t>Amendment</w:t>
            </w:r>
            <w:proofErr w:type="spellEnd"/>
            <w:r w:rsidR="00797FDF" w:rsidRPr="00002BA8">
              <w:rPr>
                <w:rFonts w:asciiTheme="majorHAnsi" w:hAnsiTheme="majorHAnsi" w:cstheme="majorHAnsi"/>
                <w:b/>
                <w:lang w:val="fr-BE"/>
              </w:rPr>
              <w:t xml:space="preserve"> </w:t>
            </w:r>
            <w:r w:rsidR="00C979A5" w:rsidRPr="00002BA8">
              <w:rPr>
                <w:rFonts w:asciiTheme="majorHAnsi" w:hAnsiTheme="majorHAnsi" w:cstheme="majorHAnsi"/>
                <w:b/>
                <w:lang w:val="fr-BE"/>
              </w:rPr>
              <w:t>319</w:t>
            </w:r>
            <w:r w:rsidR="00F55767" w:rsidRPr="00002BA8">
              <w:rPr>
                <w:rFonts w:asciiTheme="majorHAnsi" w:hAnsiTheme="majorHAnsi" w:cstheme="majorHAnsi"/>
                <w:b/>
                <w:lang w:val="fr-BE"/>
              </w:rPr>
              <w:t>, Elisabetta Gardini</w:t>
            </w:r>
            <w:r w:rsidR="00C979A5" w:rsidRPr="00002BA8">
              <w:rPr>
                <w:rFonts w:asciiTheme="majorHAnsi" w:hAnsiTheme="majorHAnsi" w:cstheme="majorHAnsi"/>
                <w:b/>
                <w:lang w:val="fr-BE"/>
              </w:rPr>
              <w:t xml:space="preserve"> (EPP, Italy)</w:t>
            </w:r>
          </w:p>
        </w:tc>
      </w:tr>
      <w:tr w:rsidR="00E4421B" w:rsidRPr="0050036D" w14:paraId="0F737801" w14:textId="77777777" w:rsidTr="00E4421B">
        <w:tc>
          <w:tcPr>
            <w:tcW w:w="2632" w:type="dxa"/>
          </w:tcPr>
          <w:p w14:paraId="6C8FB7C6" w14:textId="77777777" w:rsidR="00E4421B" w:rsidRPr="0050036D" w:rsidRDefault="00E4421B" w:rsidP="00E4421B">
            <w:pPr>
              <w:spacing w:before="120" w:after="120"/>
              <w:rPr>
                <w:rFonts w:asciiTheme="majorHAnsi" w:hAnsiTheme="majorHAnsi" w:cstheme="majorHAnsi"/>
                <w:b/>
              </w:rPr>
            </w:pPr>
            <w:r w:rsidRPr="0050036D">
              <w:rPr>
                <w:rFonts w:asciiTheme="majorHAnsi" w:hAnsiTheme="majorHAnsi" w:cstheme="majorHAnsi"/>
                <w:b/>
              </w:rPr>
              <w:t xml:space="preserve">Article 5 </w:t>
            </w:r>
          </w:p>
          <w:p w14:paraId="608A1CA4" w14:textId="77777777" w:rsidR="00E4421B" w:rsidRPr="0050036D" w:rsidRDefault="00E4421B" w:rsidP="00E4421B">
            <w:pPr>
              <w:spacing w:before="120" w:after="120"/>
              <w:jc w:val="center"/>
              <w:rPr>
                <w:rFonts w:asciiTheme="majorHAnsi" w:hAnsiTheme="majorHAnsi" w:cstheme="majorHAnsi"/>
                <w:b/>
              </w:rPr>
            </w:pPr>
          </w:p>
        </w:tc>
        <w:tc>
          <w:tcPr>
            <w:tcW w:w="7019" w:type="dxa"/>
          </w:tcPr>
          <w:p w14:paraId="2D79A735" w14:textId="77777777" w:rsidR="00E4421B" w:rsidRPr="0050036D" w:rsidRDefault="00E4421B" w:rsidP="00D67710">
            <w:pPr>
              <w:pStyle w:val="Default"/>
              <w:spacing w:before="120" w:after="120"/>
              <w:jc w:val="center"/>
              <w:rPr>
                <w:rFonts w:asciiTheme="majorHAnsi" w:hAnsiTheme="majorHAnsi" w:cstheme="majorHAnsi"/>
                <w:i/>
                <w:iCs/>
                <w:sz w:val="22"/>
                <w:szCs w:val="22"/>
              </w:rPr>
            </w:pPr>
            <w:r w:rsidRPr="0050036D">
              <w:rPr>
                <w:rFonts w:asciiTheme="majorHAnsi" w:hAnsiTheme="majorHAnsi" w:cstheme="majorHAnsi"/>
                <w:i/>
                <w:iCs/>
                <w:sz w:val="22"/>
                <w:szCs w:val="22"/>
              </w:rPr>
              <w:t>The title of Article 5 is replaced by the following:</w:t>
            </w:r>
          </w:p>
          <w:p w14:paraId="2F1057C0" w14:textId="77777777" w:rsidR="00E4421B" w:rsidRPr="0050036D" w:rsidRDefault="00E4421B" w:rsidP="00E4421B">
            <w:pPr>
              <w:widowControl w:val="0"/>
              <w:autoSpaceDE w:val="0"/>
              <w:autoSpaceDN w:val="0"/>
              <w:adjustRightInd w:val="0"/>
              <w:jc w:val="center"/>
              <w:rPr>
                <w:rFonts w:asciiTheme="majorHAnsi" w:hAnsiTheme="majorHAnsi" w:cstheme="majorHAnsi"/>
              </w:rPr>
            </w:pPr>
            <w:r w:rsidRPr="0050036D">
              <w:rPr>
                <w:rFonts w:asciiTheme="majorHAnsi" w:hAnsiTheme="majorHAnsi" w:cstheme="majorHAnsi"/>
                <w:i/>
                <w:iCs/>
              </w:rPr>
              <w:t>‘</w:t>
            </w:r>
            <w:r w:rsidRPr="0050036D">
              <w:rPr>
                <w:rFonts w:asciiTheme="majorHAnsi" w:hAnsiTheme="majorHAnsi" w:cstheme="majorHAnsi"/>
                <w:i/>
                <w:iCs/>
                <w:color w:val="000000"/>
              </w:rPr>
              <w:t>Article 5a</w:t>
            </w:r>
          </w:p>
          <w:p w14:paraId="21031CC5" w14:textId="77777777" w:rsidR="00E4421B" w:rsidRPr="0050036D" w:rsidRDefault="00E4421B" w:rsidP="00E4421B">
            <w:pPr>
              <w:pStyle w:val="Default"/>
              <w:spacing w:before="120" w:after="120"/>
              <w:jc w:val="center"/>
              <w:rPr>
                <w:rFonts w:asciiTheme="majorHAnsi" w:hAnsiTheme="majorHAnsi" w:cstheme="majorHAnsi"/>
                <w:b/>
                <w:iCs/>
                <w:sz w:val="22"/>
                <w:szCs w:val="22"/>
              </w:rPr>
            </w:pPr>
            <w:r w:rsidRPr="0050036D">
              <w:rPr>
                <w:rFonts w:asciiTheme="majorHAnsi" w:hAnsiTheme="majorHAnsi" w:cstheme="majorHAnsi"/>
                <w:b/>
                <w:iCs/>
                <w:sz w:val="22"/>
                <w:szCs w:val="22"/>
              </w:rPr>
              <w:t>Super-credits for 95 g CO2/km target’</w:t>
            </w:r>
          </w:p>
        </w:tc>
      </w:tr>
      <w:tr w:rsidR="00E4421B" w:rsidRPr="0050036D" w14:paraId="5669BD65" w14:textId="77777777" w:rsidTr="00E4421B">
        <w:tc>
          <w:tcPr>
            <w:tcW w:w="2632" w:type="dxa"/>
          </w:tcPr>
          <w:p w14:paraId="5BCF67F2" w14:textId="77777777" w:rsidR="00E4421B" w:rsidRPr="0050036D" w:rsidRDefault="00E4421B" w:rsidP="00E4421B">
            <w:pPr>
              <w:spacing w:before="120" w:after="120"/>
              <w:rPr>
                <w:rFonts w:asciiTheme="majorHAnsi" w:hAnsiTheme="majorHAnsi" w:cstheme="majorHAnsi"/>
                <w:b/>
              </w:rPr>
            </w:pPr>
            <w:r w:rsidRPr="0050036D">
              <w:rPr>
                <w:rFonts w:asciiTheme="majorHAnsi" w:hAnsiTheme="majorHAnsi" w:cstheme="majorHAnsi"/>
                <w:b/>
              </w:rPr>
              <w:t>Article 5 b (new)</w:t>
            </w:r>
          </w:p>
        </w:tc>
        <w:tc>
          <w:tcPr>
            <w:tcW w:w="7019" w:type="dxa"/>
          </w:tcPr>
          <w:p w14:paraId="3ED3A7D9" w14:textId="318FC456" w:rsidR="00E4421B" w:rsidRPr="0050036D" w:rsidRDefault="00E4421B" w:rsidP="00D67710">
            <w:pPr>
              <w:pStyle w:val="Default"/>
              <w:spacing w:before="120" w:after="120"/>
              <w:jc w:val="center"/>
              <w:rPr>
                <w:rFonts w:asciiTheme="majorHAnsi" w:hAnsiTheme="majorHAnsi" w:cstheme="majorHAnsi"/>
                <w:i/>
                <w:iCs/>
                <w:sz w:val="22"/>
                <w:szCs w:val="22"/>
              </w:rPr>
            </w:pPr>
            <w:r w:rsidRPr="0050036D">
              <w:rPr>
                <w:rFonts w:asciiTheme="majorHAnsi" w:hAnsiTheme="majorHAnsi" w:cstheme="majorHAnsi"/>
                <w:i/>
                <w:iCs/>
                <w:sz w:val="22"/>
                <w:szCs w:val="22"/>
              </w:rPr>
              <w:t>A new Article 5</w:t>
            </w:r>
            <w:r w:rsidR="00C979A5" w:rsidRPr="0050036D">
              <w:rPr>
                <w:rFonts w:asciiTheme="majorHAnsi" w:hAnsiTheme="majorHAnsi" w:cstheme="majorHAnsi"/>
                <w:i/>
                <w:iCs/>
                <w:sz w:val="22"/>
                <w:szCs w:val="22"/>
              </w:rPr>
              <w:t xml:space="preserve"> </w:t>
            </w:r>
            <w:r w:rsidRPr="0050036D">
              <w:rPr>
                <w:rFonts w:asciiTheme="majorHAnsi" w:hAnsiTheme="majorHAnsi" w:cstheme="majorHAnsi"/>
                <w:i/>
                <w:iCs/>
                <w:sz w:val="22"/>
                <w:szCs w:val="22"/>
              </w:rPr>
              <w:t>b is inserted, as follows:</w:t>
            </w:r>
          </w:p>
          <w:p w14:paraId="58DB101D" w14:textId="77777777" w:rsidR="00E4421B" w:rsidRPr="0050036D" w:rsidRDefault="00E4421B" w:rsidP="00E4421B">
            <w:pPr>
              <w:pStyle w:val="Default"/>
              <w:spacing w:before="120" w:after="120"/>
              <w:jc w:val="center"/>
              <w:rPr>
                <w:rFonts w:asciiTheme="majorHAnsi" w:hAnsiTheme="majorHAnsi" w:cstheme="majorHAnsi"/>
                <w:i/>
                <w:iCs/>
                <w:sz w:val="22"/>
                <w:szCs w:val="22"/>
              </w:rPr>
            </w:pPr>
            <w:r w:rsidRPr="0050036D" w:rsidDel="00EB1470">
              <w:rPr>
                <w:rFonts w:asciiTheme="majorHAnsi" w:hAnsiTheme="majorHAnsi" w:cstheme="majorHAnsi"/>
                <w:i/>
                <w:iCs/>
                <w:sz w:val="22"/>
                <w:szCs w:val="22"/>
              </w:rPr>
              <w:t xml:space="preserve"> </w:t>
            </w:r>
            <w:r w:rsidRPr="0050036D">
              <w:rPr>
                <w:rFonts w:asciiTheme="majorHAnsi" w:hAnsiTheme="majorHAnsi" w:cstheme="majorHAnsi"/>
                <w:i/>
                <w:iCs/>
                <w:sz w:val="22"/>
                <w:szCs w:val="22"/>
              </w:rPr>
              <w:t>‘Article 5b</w:t>
            </w:r>
          </w:p>
          <w:p w14:paraId="67061208" w14:textId="77777777" w:rsidR="00E4421B" w:rsidRPr="0050036D" w:rsidRDefault="00E4421B" w:rsidP="00E4421B">
            <w:pPr>
              <w:pStyle w:val="Default"/>
              <w:spacing w:before="120" w:after="120"/>
              <w:jc w:val="center"/>
              <w:rPr>
                <w:rFonts w:asciiTheme="majorHAnsi" w:hAnsiTheme="majorHAnsi" w:cstheme="majorHAnsi"/>
                <w:b/>
                <w:iCs/>
                <w:sz w:val="22"/>
                <w:szCs w:val="22"/>
              </w:rPr>
            </w:pPr>
            <w:r w:rsidRPr="0050036D">
              <w:rPr>
                <w:rFonts w:asciiTheme="majorHAnsi" w:hAnsiTheme="majorHAnsi" w:cstheme="majorHAnsi"/>
                <w:b/>
                <w:iCs/>
                <w:sz w:val="22"/>
                <w:szCs w:val="22"/>
              </w:rPr>
              <w:t>Credit for using higher octane petrol in vehicles with positive-ignition engines</w:t>
            </w:r>
          </w:p>
          <w:p w14:paraId="6EEEB384" w14:textId="77777777" w:rsidR="00E4421B" w:rsidRPr="0050036D" w:rsidRDefault="00E4421B" w:rsidP="00E4421B">
            <w:pPr>
              <w:pStyle w:val="Default"/>
              <w:spacing w:before="120" w:after="120"/>
              <w:rPr>
                <w:rFonts w:asciiTheme="majorHAnsi" w:hAnsiTheme="majorHAnsi" w:cstheme="majorHAnsi"/>
                <w:b/>
                <w:iCs/>
                <w:sz w:val="22"/>
                <w:szCs w:val="22"/>
                <w:u w:val="single"/>
              </w:rPr>
            </w:pPr>
            <w:proofErr w:type="gramStart"/>
            <w:r w:rsidRPr="0050036D">
              <w:rPr>
                <w:rFonts w:asciiTheme="majorHAnsi" w:hAnsiTheme="majorHAnsi" w:cstheme="majorHAnsi"/>
                <w:b/>
                <w:iCs/>
                <w:sz w:val="22"/>
                <w:szCs w:val="22"/>
                <w:u w:val="single"/>
              </w:rPr>
              <w:t>For the monitoring of manufacturer compliance with its specific CO2 emissions target, the specific emissions of CO2 of each new passenger car determined according to Part A.1 of Annex I or of each light commercial vehicle determined according to Part B.1 of Annex I shall be reduced by 5% in cases where the new vehicle engine has a higher compression ratio that will be more efficient when using a high-octane petrol.</w:t>
            </w:r>
            <w:proofErr w:type="gramEnd"/>
            <w:r w:rsidRPr="0050036D">
              <w:rPr>
                <w:rFonts w:asciiTheme="majorHAnsi" w:hAnsiTheme="majorHAnsi" w:cstheme="majorHAnsi"/>
                <w:b/>
                <w:iCs/>
                <w:sz w:val="22"/>
                <w:szCs w:val="22"/>
                <w:u w:val="single"/>
              </w:rPr>
              <w:t xml:space="preserve"> This reduction shall apply only where at least 5% of the public refuelling stations offer for sale high-octane petrol in the Member State in which the new vehicle is registered. </w:t>
            </w:r>
            <w:proofErr w:type="gramStart"/>
            <w:r w:rsidRPr="0050036D">
              <w:rPr>
                <w:rFonts w:asciiTheme="majorHAnsi" w:hAnsiTheme="majorHAnsi" w:cstheme="majorHAnsi"/>
                <w:b/>
                <w:iCs/>
                <w:sz w:val="22"/>
                <w:szCs w:val="22"/>
                <w:u w:val="single"/>
              </w:rPr>
              <w:t>That percentage availability of high-octane petrol shall be increased by 5% on 1 January each year and such adjustment of the new vehicle specific emissions of CO2 shall remain applicable until a type-approval reference petrol specification with a minimum octane of 102 is implemented through the relevant EU legislation and official new vehicle specific emissions of CO2 can be measured using high-octane petrol.</w:t>
            </w:r>
            <w:proofErr w:type="gramEnd"/>
            <w:r w:rsidRPr="0050036D">
              <w:rPr>
                <w:rFonts w:asciiTheme="majorHAnsi" w:hAnsiTheme="majorHAnsi" w:cstheme="majorHAnsi"/>
                <w:b/>
                <w:iCs/>
                <w:sz w:val="22"/>
                <w:szCs w:val="22"/>
                <w:u w:val="single"/>
              </w:rPr>
              <w:t xml:space="preserve"> The Commission </w:t>
            </w:r>
            <w:proofErr w:type="gramStart"/>
            <w:r w:rsidRPr="0050036D">
              <w:rPr>
                <w:rFonts w:asciiTheme="majorHAnsi" w:hAnsiTheme="majorHAnsi" w:cstheme="majorHAnsi"/>
                <w:b/>
                <w:iCs/>
                <w:sz w:val="22"/>
                <w:szCs w:val="22"/>
                <w:u w:val="single"/>
              </w:rPr>
              <w:t>shall, as soon as possible, bring</w:t>
            </w:r>
            <w:proofErr w:type="gramEnd"/>
            <w:r w:rsidRPr="0050036D">
              <w:rPr>
                <w:rFonts w:asciiTheme="majorHAnsi" w:hAnsiTheme="majorHAnsi" w:cstheme="majorHAnsi"/>
                <w:b/>
                <w:iCs/>
                <w:sz w:val="22"/>
                <w:szCs w:val="22"/>
                <w:u w:val="single"/>
              </w:rPr>
              <w:t xml:space="preserve"> forward proposals to amend fuel quality parameters in Directive 98/70/EC and to ensure sufficient availability in the European Union of petrol with a minimum octane of RON 102. This will, as far as possible, be in line with the rate of introduction of new vehicles with high </w:t>
            </w:r>
            <w:proofErr w:type="gramStart"/>
            <w:r w:rsidRPr="0050036D">
              <w:rPr>
                <w:rFonts w:asciiTheme="majorHAnsi" w:hAnsiTheme="majorHAnsi" w:cstheme="majorHAnsi"/>
                <w:b/>
                <w:iCs/>
                <w:sz w:val="22"/>
                <w:szCs w:val="22"/>
                <w:u w:val="single"/>
              </w:rPr>
              <w:t>compression ratio petrol engines</w:t>
            </w:r>
            <w:proofErr w:type="gramEnd"/>
            <w:r w:rsidRPr="0050036D">
              <w:rPr>
                <w:rFonts w:asciiTheme="majorHAnsi" w:hAnsiTheme="majorHAnsi" w:cstheme="majorHAnsi"/>
                <w:b/>
                <w:iCs/>
                <w:sz w:val="22"/>
                <w:szCs w:val="22"/>
                <w:u w:val="single"/>
              </w:rPr>
              <w:t xml:space="preserve">. This should include a request CEN to prepare the relevant EN standard for minimum </w:t>
            </w:r>
            <w:proofErr w:type="gramStart"/>
            <w:r w:rsidRPr="0050036D">
              <w:rPr>
                <w:rFonts w:asciiTheme="majorHAnsi" w:hAnsiTheme="majorHAnsi" w:cstheme="majorHAnsi"/>
                <w:b/>
                <w:iCs/>
                <w:sz w:val="22"/>
                <w:szCs w:val="22"/>
                <w:u w:val="single"/>
              </w:rPr>
              <w:t>102 octane</w:t>
            </w:r>
            <w:proofErr w:type="gramEnd"/>
            <w:r w:rsidRPr="0050036D">
              <w:rPr>
                <w:rFonts w:asciiTheme="majorHAnsi" w:hAnsiTheme="majorHAnsi" w:cstheme="majorHAnsi"/>
                <w:b/>
                <w:iCs/>
                <w:sz w:val="22"/>
                <w:szCs w:val="22"/>
                <w:u w:val="single"/>
              </w:rPr>
              <w:t xml:space="preserve"> petrol. The Commission shall also bring forward an amendment to Regulations 715/2008, 692/2009 and 2017/1151 to introduce a reference petrol with a minimum 102 RON for the measurement of official pollutant emission and CO2 values.’</w:t>
            </w:r>
          </w:p>
        </w:tc>
      </w:tr>
      <w:tr w:rsidR="00E4421B" w:rsidRPr="0050036D" w14:paraId="1CF41B1C" w14:textId="77777777" w:rsidTr="00E4421B">
        <w:tc>
          <w:tcPr>
            <w:tcW w:w="9651" w:type="dxa"/>
            <w:gridSpan w:val="2"/>
          </w:tcPr>
          <w:p w14:paraId="3193C201" w14:textId="77777777" w:rsidR="00E4421B" w:rsidRPr="0050036D" w:rsidRDefault="00E4421B" w:rsidP="00E4421B">
            <w:pPr>
              <w:spacing w:before="120" w:after="120"/>
              <w:rPr>
                <w:rFonts w:asciiTheme="majorHAnsi" w:hAnsiTheme="majorHAnsi" w:cstheme="majorHAnsi"/>
                <w:b/>
                <w:i/>
              </w:rPr>
            </w:pPr>
            <w:r w:rsidRPr="0050036D">
              <w:rPr>
                <w:rFonts w:asciiTheme="majorHAnsi" w:hAnsiTheme="majorHAnsi" w:cstheme="majorHAnsi"/>
                <w:b/>
                <w:i/>
              </w:rPr>
              <w:t>Justification:</w:t>
            </w:r>
          </w:p>
          <w:p w14:paraId="0C8672F0" w14:textId="77777777" w:rsidR="00E4421B" w:rsidRPr="0050036D" w:rsidRDefault="00E4421B" w:rsidP="00E4421B">
            <w:pPr>
              <w:pStyle w:val="Default"/>
              <w:spacing w:before="120" w:after="120"/>
              <w:rPr>
                <w:rFonts w:asciiTheme="majorHAnsi" w:hAnsiTheme="majorHAnsi" w:cstheme="majorHAnsi"/>
                <w:i/>
                <w:iCs/>
                <w:sz w:val="22"/>
                <w:szCs w:val="22"/>
              </w:rPr>
            </w:pPr>
            <w:r w:rsidRPr="0050036D">
              <w:rPr>
                <w:rFonts w:asciiTheme="majorHAnsi" w:hAnsiTheme="majorHAnsi" w:cstheme="majorHAnsi"/>
                <w:i/>
                <w:iCs/>
                <w:sz w:val="22"/>
                <w:szCs w:val="22"/>
              </w:rPr>
              <w:t xml:space="preserve">Regulated pollutant and CO2 emissions are currently measured using petrol with an octane rating between 95 and 98 RON. Engines capable of running more efficiently with a higher-octane petrol are therefore penalised from not being able to demonstrate better engine efficiency and lower CO2 emissions. The amendment shall recognise that existing new engine designs with high compression ratio that are capable of running on higher-octane petrol should get a CO2 credit by using such a fuel in the market and the legislation should encourage manufacturers to develop and introduce new engine designs to take more benefit from  higher octane-petrol. </w:t>
            </w:r>
            <w:proofErr w:type="gramStart"/>
            <w:r w:rsidRPr="0050036D">
              <w:rPr>
                <w:rFonts w:asciiTheme="majorHAnsi" w:hAnsiTheme="majorHAnsi" w:cstheme="majorHAnsi"/>
                <w:i/>
                <w:iCs/>
                <w:sz w:val="22"/>
                <w:szCs w:val="22"/>
              </w:rPr>
              <w:t>The reference to the percentage of the filling stations needs to be specifically mentioned in this amendment a) to encourage vehicle manufacturers to develop and introduce more efficient engines that can run more efficiently on such high-octane petrol b) to  enable existing cars and light-commercial vehicles to have access to the fuel, who can already use it and thus reduce CO2 emissions.</w:t>
            </w:r>
            <w:proofErr w:type="gramEnd"/>
            <w:r w:rsidRPr="0050036D">
              <w:rPr>
                <w:rFonts w:asciiTheme="majorHAnsi" w:hAnsiTheme="majorHAnsi" w:cstheme="majorHAnsi"/>
                <w:i/>
                <w:iCs/>
                <w:sz w:val="22"/>
                <w:szCs w:val="22"/>
              </w:rPr>
              <w:t xml:space="preserve"> </w:t>
            </w:r>
          </w:p>
        </w:tc>
      </w:tr>
    </w:tbl>
    <w:p w14:paraId="5BC0C44E" w14:textId="77777777" w:rsidR="00E4421B" w:rsidRPr="0050036D" w:rsidRDefault="00E4421B" w:rsidP="00E4421B">
      <w:pPr>
        <w:rPr>
          <w:rFonts w:asciiTheme="majorHAnsi" w:hAnsiTheme="majorHAnsi" w:cstheme="majorHAnsi"/>
        </w:rPr>
      </w:pPr>
      <w:r w:rsidRPr="0050036D">
        <w:rPr>
          <w:rFonts w:asciiTheme="majorHAnsi" w:hAnsiTheme="majorHAnsi" w:cstheme="majorHAnsi"/>
        </w:rPr>
        <w:br w:type="page"/>
      </w:r>
    </w:p>
    <w:p w14:paraId="32D7645C" w14:textId="77777777" w:rsidR="00E4421B" w:rsidRPr="0050036D" w:rsidRDefault="00E4421B" w:rsidP="00E4421B">
      <w:pPr>
        <w:spacing w:after="0" w:line="240" w:lineRule="auto"/>
        <w:jc w:val="center"/>
        <w:rPr>
          <w:rFonts w:asciiTheme="majorHAnsi" w:hAnsiTheme="majorHAnsi" w:cstheme="majorHAnsi"/>
          <w:b/>
          <w:color w:val="5B9BD5" w:themeColor="accent1"/>
          <w:sz w:val="24"/>
          <w:szCs w:val="24"/>
        </w:rPr>
      </w:pPr>
      <w:r w:rsidRPr="0050036D">
        <w:rPr>
          <w:rFonts w:asciiTheme="majorHAnsi" w:hAnsiTheme="majorHAnsi" w:cstheme="majorHAnsi"/>
          <w:b/>
          <w:color w:val="5B9BD5" w:themeColor="accent1"/>
          <w:sz w:val="32"/>
          <w:szCs w:val="28"/>
        </w:rPr>
        <w:lastRenderedPageBreak/>
        <w:t>ADDITIONAL AMENDMENT PROPOSED BY EFOA TO ARTICLE 7 - PARAGRAPH 9 D (NEW)</w:t>
      </w:r>
    </w:p>
    <w:p w14:paraId="0C31ED39" w14:textId="77777777" w:rsidR="00E4421B" w:rsidRPr="0050036D" w:rsidRDefault="00E4421B" w:rsidP="00E4421B">
      <w:pPr>
        <w:pStyle w:val="ListParagraph"/>
        <w:spacing w:after="0" w:line="240" w:lineRule="auto"/>
        <w:ind w:right="-514"/>
        <w:jc w:val="both"/>
        <w:rPr>
          <w:rFonts w:asciiTheme="majorHAnsi" w:eastAsia="Calibri" w:hAnsiTheme="majorHAnsi" w:cstheme="majorHAnsi"/>
          <w:i/>
          <w:color w:val="000000" w:themeColor="text1"/>
        </w:rPr>
      </w:pPr>
    </w:p>
    <w:tbl>
      <w:tblPr>
        <w:tblStyle w:val="LightList-Accent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845"/>
      </w:tblGrid>
      <w:tr w:rsidR="00E4421B" w:rsidRPr="00002BA8" w14:paraId="747C7675" w14:textId="77777777" w:rsidTr="00B55850">
        <w:trPr>
          <w:cnfStyle w:val="100000000000" w:firstRow="1" w:lastRow="0" w:firstColumn="0" w:lastColumn="0" w:oddVBand="0" w:evenVBand="0" w:oddHBand="0"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72666857" w14:textId="77777777" w:rsidR="00E4421B" w:rsidRPr="0050036D" w:rsidRDefault="00E4421B" w:rsidP="00B55850">
            <w:pPr>
              <w:rPr>
                <w:rFonts w:asciiTheme="majorHAnsi" w:hAnsiTheme="majorHAnsi" w:cstheme="majorHAnsi"/>
                <w:iCs/>
                <w:color w:val="000000" w:themeColor="text1"/>
              </w:rPr>
            </w:pPr>
            <w:r w:rsidRPr="0050036D">
              <w:rPr>
                <w:rFonts w:asciiTheme="majorHAnsi" w:hAnsiTheme="majorHAnsi" w:cstheme="majorHAnsi"/>
                <w:iCs/>
                <w:color w:val="000000" w:themeColor="text1"/>
              </w:rPr>
              <w:t>Proposal for a regulation</w:t>
            </w:r>
          </w:p>
          <w:p w14:paraId="5DBDBA21" w14:textId="77777777" w:rsidR="00E4421B" w:rsidRPr="0050036D" w:rsidRDefault="00E4421B" w:rsidP="00B55850">
            <w:pPr>
              <w:rPr>
                <w:rFonts w:asciiTheme="majorHAnsi" w:hAnsiTheme="majorHAnsi" w:cstheme="majorHAnsi"/>
                <w:iCs/>
                <w:color w:val="000000" w:themeColor="text1"/>
              </w:rPr>
            </w:pPr>
            <w:r w:rsidRPr="0050036D">
              <w:rPr>
                <w:rFonts w:asciiTheme="majorHAnsi" w:hAnsiTheme="majorHAnsi" w:cstheme="majorHAnsi"/>
                <w:iCs/>
                <w:color w:val="000000" w:themeColor="text1"/>
              </w:rPr>
              <w:t>Article 7 - paragraph 9 d (new)</w:t>
            </w:r>
          </w:p>
          <w:p w14:paraId="529A6CD0" w14:textId="77777777" w:rsidR="00E4421B" w:rsidRPr="0050036D" w:rsidRDefault="00E4421B" w:rsidP="00B55850">
            <w:pPr>
              <w:rPr>
                <w:rFonts w:asciiTheme="majorHAnsi" w:hAnsiTheme="majorHAnsi" w:cstheme="majorHAnsi"/>
                <w:i/>
                <w:iCs/>
                <w:color w:val="000000" w:themeColor="text1"/>
              </w:rPr>
            </w:pPr>
            <w:r w:rsidRPr="0050036D">
              <w:rPr>
                <w:rFonts w:asciiTheme="majorHAnsi" w:hAnsiTheme="majorHAnsi" w:cstheme="majorHAnsi"/>
                <w:iCs/>
                <w:color w:val="000000" w:themeColor="text1"/>
              </w:rPr>
              <w:t>Text proposed by the European Commission</w:t>
            </w:r>
            <w:r w:rsidRPr="0050036D">
              <w:rPr>
                <w:rFonts w:asciiTheme="majorHAnsi" w:hAnsiTheme="majorHAnsi" w:cstheme="majorHAnsi"/>
                <w:i/>
                <w:iCs/>
                <w:color w:val="000000" w:themeColor="text1"/>
              </w:rPr>
              <w:t xml:space="preserve"> </w:t>
            </w:r>
          </w:p>
        </w:tc>
        <w:tc>
          <w:tcPr>
            <w:tcW w:w="6845" w:type="dxa"/>
            <w:shd w:val="clear" w:color="auto" w:fill="auto"/>
          </w:tcPr>
          <w:p w14:paraId="11E84E36" w14:textId="77777777" w:rsidR="00C979A5" w:rsidRPr="0050036D" w:rsidRDefault="00C979A5" w:rsidP="00B558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color w:val="000000" w:themeColor="text1"/>
              </w:rPr>
            </w:pPr>
          </w:p>
          <w:p w14:paraId="548A0B1B" w14:textId="77777777" w:rsidR="00C979A5" w:rsidRPr="0050036D" w:rsidRDefault="00C979A5" w:rsidP="00B5585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color w:val="000000" w:themeColor="text1"/>
              </w:rPr>
            </w:pPr>
          </w:p>
          <w:p w14:paraId="094D45D3" w14:textId="3E0803E4" w:rsidR="00E4421B" w:rsidRPr="00002BA8" w:rsidRDefault="00F55767" w:rsidP="00C97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color w:val="000000" w:themeColor="text1"/>
                <w:lang w:val="fr-BE"/>
              </w:rPr>
            </w:pPr>
            <w:proofErr w:type="spellStart"/>
            <w:r w:rsidRPr="00002BA8">
              <w:rPr>
                <w:rFonts w:asciiTheme="majorHAnsi" w:hAnsiTheme="majorHAnsi" w:cstheme="majorHAnsi"/>
                <w:iCs/>
                <w:color w:val="000000" w:themeColor="text1"/>
                <w:lang w:val="fr-BE"/>
              </w:rPr>
              <w:t>Amendment</w:t>
            </w:r>
            <w:proofErr w:type="spellEnd"/>
            <w:r w:rsidRPr="00002BA8">
              <w:rPr>
                <w:rFonts w:asciiTheme="majorHAnsi" w:hAnsiTheme="majorHAnsi" w:cstheme="majorHAnsi"/>
                <w:iCs/>
                <w:color w:val="000000" w:themeColor="text1"/>
                <w:lang w:val="fr-BE"/>
              </w:rPr>
              <w:t xml:space="preserve">  344, Elisabetta Gardini</w:t>
            </w:r>
            <w:r w:rsidR="00C979A5" w:rsidRPr="00002BA8">
              <w:rPr>
                <w:rFonts w:asciiTheme="majorHAnsi" w:hAnsiTheme="majorHAnsi" w:cstheme="majorHAnsi"/>
                <w:iCs/>
                <w:color w:val="000000" w:themeColor="text1"/>
                <w:lang w:val="fr-BE"/>
              </w:rPr>
              <w:t xml:space="preserve"> (EPP, Italy)</w:t>
            </w:r>
          </w:p>
        </w:tc>
      </w:tr>
      <w:tr w:rsidR="00E4421B" w:rsidRPr="0050036D" w14:paraId="5D28C78F" w14:textId="77777777" w:rsidTr="00B55850">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left w:val="none" w:sz="0" w:space="0" w:color="auto"/>
              <w:bottom w:val="none" w:sz="0" w:space="0" w:color="auto"/>
            </w:tcBorders>
          </w:tcPr>
          <w:p w14:paraId="3C711384" w14:textId="57A866D2" w:rsidR="00F55767" w:rsidRPr="0050036D" w:rsidRDefault="00F55767" w:rsidP="00F55767">
            <w:pPr>
              <w:rPr>
                <w:rFonts w:asciiTheme="majorHAnsi" w:hAnsiTheme="majorHAnsi" w:cstheme="majorHAnsi"/>
                <w:iCs/>
                <w:color w:val="000000" w:themeColor="text1"/>
              </w:rPr>
            </w:pPr>
            <w:r w:rsidRPr="0050036D">
              <w:rPr>
                <w:rFonts w:asciiTheme="majorHAnsi" w:hAnsiTheme="majorHAnsi" w:cstheme="majorHAnsi"/>
                <w:iCs/>
                <w:color w:val="000000" w:themeColor="text1"/>
              </w:rPr>
              <w:t>Article 7 - paragraph 9 d (new)</w:t>
            </w:r>
          </w:p>
          <w:p w14:paraId="65D9594B" w14:textId="768DE402" w:rsidR="00E4421B" w:rsidRPr="0050036D" w:rsidRDefault="00F55767" w:rsidP="00B55850">
            <w:pPr>
              <w:jc w:val="both"/>
              <w:rPr>
                <w:rFonts w:asciiTheme="majorHAnsi" w:hAnsiTheme="majorHAnsi" w:cstheme="majorHAnsi"/>
                <w:i/>
                <w:color w:val="000000" w:themeColor="text1"/>
              </w:rPr>
            </w:pPr>
            <w:r w:rsidRPr="0050036D">
              <w:rPr>
                <w:rFonts w:asciiTheme="majorHAnsi" w:hAnsiTheme="majorHAnsi" w:cstheme="majorHAnsi"/>
                <w:i/>
                <w:color w:val="000000" w:themeColor="text1"/>
              </w:rPr>
              <w:t xml:space="preserve"> </w:t>
            </w:r>
          </w:p>
        </w:tc>
        <w:tc>
          <w:tcPr>
            <w:tcW w:w="6845" w:type="dxa"/>
            <w:tcBorders>
              <w:top w:val="none" w:sz="0" w:space="0" w:color="auto"/>
              <w:bottom w:val="none" w:sz="0" w:space="0" w:color="auto"/>
              <w:right w:val="none" w:sz="0" w:space="0" w:color="auto"/>
            </w:tcBorders>
          </w:tcPr>
          <w:p w14:paraId="5E437693" w14:textId="2C5FFF99" w:rsidR="00E4421B" w:rsidRPr="0050036D" w:rsidRDefault="00E4421B" w:rsidP="00B5585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themeColor="text1"/>
                <w:u w:val="single"/>
              </w:rPr>
            </w:pPr>
            <w:r w:rsidRPr="0050036D">
              <w:rPr>
                <w:rFonts w:asciiTheme="majorHAnsi" w:hAnsiTheme="majorHAnsi" w:cstheme="majorHAnsi"/>
                <w:b/>
                <w:color w:val="000000" w:themeColor="text1"/>
                <w:u w:val="single"/>
              </w:rPr>
              <w:t xml:space="preserve">Member States can account towards the renewable energy target, the </w:t>
            </w:r>
            <w:proofErr w:type="gramStart"/>
            <w:r w:rsidRPr="0050036D">
              <w:rPr>
                <w:rFonts w:asciiTheme="majorHAnsi" w:hAnsiTheme="majorHAnsi" w:cstheme="majorHAnsi"/>
                <w:b/>
                <w:color w:val="000000" w:themeColor="text1"/>
                <w:u w:val="single"/>
              </w:rPr>
              <w:t>energy efficiency improvement percentage</w:t>
            </w:r>
            <w:proofErr w:type="gramEnd"/>
            <w:r w:rsidRPr="0050036D">
              <w:rPr>
                <w:rFonts w:asciiTheme="majorHAnsi" w:hAnsiTheme="majorHAnsi" w:cstheme="majorHAnsi"/>
                <w:b/>
                <w:color w:val="000000" w:themeColor="text1"/>
                <w:u w:val="single"/>
              </w:rPr>
              <w:t>, and correlated CO</w:t>
            </w:r>
            <w:r w:rsidRPr="0050036D">
              <w:rPr>
                <w:rFonts w:asciiTheme="majorHAnsi" w:hAnsiTheme="majorHAnsi" w:cstheme="majorHAnsi"/>
                <w:b/>
                <w:color w:val="000000" w:themeColor="text1"/>
                <w:u w:val="single"/>
                <w:vertAlign w:val="subscript"/>
              </w:rPr>
              <w:t>2</w:t>
            </w:r>
            <w:r w:rsidRPr="0050036D">
              <w:rPr>
                <w:rFonts w:asciiTheme="majorHAnsi" w:hAnsiTheme="majorHAnsi" w:cstheme="majorHAnsi"/>
                <w:b/>
                <w:color w:val="000000" w:themeColor="text1"/>
                <w:u w:val="single"/>
              </w:rPr>
              <w:t xml:space="preserve"> savings, in the transport sector, enabled by higher quality fuels, including higher-octane petrol, when used in highly efficient engines equipped with higher compression ratio.</w:t>
            </w:r>
          </w:p>
        </w:tc>
      </w:tr>
      <w:tr w:rsidR="00E4421B" w:rsidRPr="0050036D" w14:paraId="45CD646B" w14:textId="77777777" w:rsidTr="00B55850">
        <w:trPr>
          <w:trHeight w:val="1178"/>
        </w:trPr>
        <w:tc>
          <w:tcPr>
            <w:cnfStyle w:val="001000000000" w:firstRow="0" w:lastRow="0" w:firstColumn="1" w:lastColumn="0" w:oddVBand="0" w:evenVBand="0" w:oddHBand="0" w:evenHBand="0" w:firstRowFirstColumn="0" w:firstRowLastColumn="0" w:lastRowFirstColumn="0" w:lastRowLastColumn="0"/>
            <w:tcW w:w="9540" w:type="dxa"/>
            <w:gridSpan w:val="2"/>
          </w:tcPr>
          <w:p w14:paraId="007C90D8" w14:textId="77777777" w:rsidR="00E4421B" w:rsidRPr="0050036D" w:rsidRDefault="00E4421B" w:rsidP="00B55850">
            <w:pPr>
              <w:jc w:val="both"/>
              <w:rPr>
                <w:rFonts w:asciiTheme="majorHAnsi" w:hAnsiTheme="majorHAnsi" w:cstheme="majorHAnsi"/>
                <w:b w:val="0"/>
              </w:rPr>
            </w:pPr>
            <w:r w:rsidRPr="0050036D">
              <w:rPr>
                <w:rFonts w:asciiTheme="majorHAnsi" w:eastAsia="Calibri" w:hAnsiTheme="majorHAnsi" w:cstheme="majorHAnsi"/>
                <w:b w:val="0"/>
                <w:i/>
                <w:color w:val="000000" w:themeColor="text1"/>
              </w:rPr>
              <w:t xml:space="preserve">Justification: </w:t>
            </w:r>
            <w:r w:rsidRPr="0050036D">
              <w:rPr>
                <w:rFonts w:asciiTheme="majorHAnsi" w:eastAsia="Calibri" w:hAnsiTheme="majorHAnsi" w:cstheme="majorHAnsi"/>
                <w:b w:val="0"/>
                <w:i/>
              </w:rPr>
              <w:t xml:space="preserve">Higher-octane fuels offer substantial GHG emissions savings, improve the efficiency of fuels and lower air pollution. As such, blending higher-octane fuels reduces the amount of petrol needed in transport. This brings a societal benefit for consumers, who will be able to drive longer on the same tank of petrol. This is a real saving potential, which </w:t>
            </w:r>
            <w:proofErr w:type="gramStart"/>
            <w:r w:rsidRPr="0050036D">
              <w:rPr>
                <w:rFonts w:asciiTheme="majorHAnsi" w:eastAsia="Calibri" w:hAnsiTheme="majorHAnsi" w:cstheme="majorHAnsi"/>
                <w:b w:val="0"/>
                <w:i/>
              </w:rPr>
              <w:t>should be recognised</w:t>
            </w:r>
            <w:proofErr w:type="gramEnd"/>
            <w:r w:rsidRPr="0050036D">
              <w:rPr>
                <w:rFonts w:asciiTheme="majorHAnsi" w:eastAsia="Calibri" w:hAnsiTheme="majorHAnsi" w:cstheme="majorHAnsi"/>
                <w:b w:val="0"/>
                <w:i/>
              </w:rPr>
              <w:t xml:space="preserve"> in this regulation.</w:t>
            </w:r>
          </w:p>
        </w:tc>
      </w:tr>
    </w:tbl>
    <w:p w14:paraId="5CEFFEC2" w14:textId="0EDEA066" w:rsidR="00B37B5F" w:rsidRDefault="00B37B5F">
      <w:pPr>
        <w:spacing w:after="0" w:line="240" w:lineRule="auto"/>
        <w:ind w:right="-514"/>
        <w:jc w:val="both"/>
        <w:rPr>
          <w:szCs w:val="21"/>
        </w:rPr>
      </w:pPr>
    </w:p>
    <w:p w14:paraId="0DBC144B" w14:textId="3EE7254C" w:rsidR="00002BA8" w:rsidRDefault="00002BA8">
      <w:pPr>
        <w:spacing w:after="160" w:line="259" w:lineRule="auto"/>
        <w:rPr>
          <w:szCs w:val="21"/>
        </w:rPr>
      </w:pPr>
      <w:r>
        <w:rPr>
          <w:szCs w:val="21"/>
        </w:rPr>
        <w:br w:type="page"/>
      </w:r>
    </w:p>
    <w:p w14:paraId="448EB63E" w14:textId="444EE76A" w:rsidR="00002BA8" w:rsidRDefault="00002BA8" w:rsidP="00002BA8">
      <w:pPr>
        <w:spacing w:after="0" w:line="240" w:lineRule="auto"/>
        <w:ind w:right="-514"/>
        <w:jc w:val="center"/>
        <w:rPr>
          <w:rFonts w:asciiTheme="majorHAnsi" w:hAnsiTheme="majorHAnsi" w:cstheme="majorHAnsi"/>
          <w:b/>
          <w:color w:val="5B9BD5" w:themeColor="accent1"/>
          <w:sz w:val="32"/>
          <w:szCs w:val="28"/>
        </w:rPr>
      </w:pPr>
      <w:r w:rsidRPr="00002BA8">
        <w:rPr>
          <w:rFonts w:asciiTheme="majorHAnsi" w:hAnsiTheme="majorHAnsi" w:cstheme="majorHAnsi"/>
          <w:b/>
          <w:color w:val="5B9BD5" w:themeColor="accent1"/>
          <w:sz w:val="32"/>
          <w:szCs w:val="28"/>
        </w:rPr>
        <w:lastRenderedPageBreak/>
        <w:t>TRAN AMEDNEMTS</w:t>
      </w:r>
      <w:r>
        <w:rPr>
          <w:rFonts w:asciiTheme="majorHAnsi" w:hAnsiTheme="majorHAnsi" w:cstheme="majorHAnsi"/>
          <w:b/>
          <w:color w:val="5B9BD5" w:themeColor="accent1"/>
          <w:sz w:val="32"/>
          <w:szCs w:val="28"/>
        </w:rPr>
        <w:t xml:space="preserve"> SUPPORTED BY EFOA AND ACEA </w:t>
      </w:r>
      <w:bookmarkStart w:id="0" w:name="_GoBack"/>
      <w:bookmarkEnd w:id="0"/>
    </w:p>
    <w:p w14:paraId="2210A028" w14:textId="01029460" w:rsidR="00002BA8" w:rsidRDefault="00002BA8" w:rsidP="00002BA8">
      <w:pPr>
        <w:spacing w:after="0" w:line="240" w:lineRule="auto"/>
        <w:ind w:right="-514"/>
        <w:jc w:val="center"/>
        <w:rPr>
          <w:rFonts w:asciiTheme="majorHAnsi" w:hAnsiTheme="majorHAnsi" w:cstheme="majorHAnsi"/>
          <w:b/>
          <w:color w:val="5B9BD5" w:themeColor="accent1"/>
          <w:sz w:val="32"/>
          <w:szCs w:val="28"/>
        </w:rPr>
      </w:pPr>
    </w:p>
    <w:tbl>
      <w:tblPr>
        <w:tblStyle w:val="TableGrid"/>
        <w:tblpPr w:leftFromText="180" w:rightFromText="180" w:vertAnchor="page" w:horzAnchor="margin" w:tblpXSpec="center" w:tblpY="2376"/>
        <w:tblW w:w="9651" w:type="dxa"/>
        <w:tblLook w:val="04A0" w:firstRow="1" w:lastRow="0" w:firstColumn="1" w:lastColumn="0" w:noHBand="0" w:noVBand="1"/>
      </w:tblPr>
      <w:tblGrid>
        <w:gridCol w:w="2632"/>
        <w:gridCol w:w="7019"/>
      </w:tblGrid>
      <w:tr w:rsidR="00002BA8" w:rsidRPr="00002BA8" w14:paraId="64CD5558" w14:textId="77777777" w:rsidTr="00543C9B">
        <w:tc>
          <w:tcPr>
            <w:tcW w:w="2632" w:type="dxa"/>
          </w:tcPr>
          <w:p w14:paraId="0F5AAA4E" w14:textId="77777777" w:rsidR="00002BA8" w:rsidRPr="0050036D" w:rsidRDefault="00002BA8" w:rsidP="00543C9B">
            <w:pPr>
              <w:spacing w:before="120" w:after="120"/>
              <w:jc w:val="center"/>
              <w:rPr>
                <w:rFonts w:asciiTheme="majorHAnsi" w:hAnsiTheme="majorHAnsi" w:cstheme="majorHAnsi"/>
                <w:b/>
              </w:rPr>
            </w:pPr>
            <w:r w:rsidRPr="0050036D">
              <w:rPr>
                <w:rFonts w:asciiTheme="majorHAnsi" w:hAnsiTheme="majorHAnsi" w:cstheme="majorHAnsi"/>
                <w:b/>
              </w:rPr>
              <w:t>Commission proposal</w:t>
            </w:r>
          </w:p>
        </w:tc>
        <w:tc>
          <w:tcPr>
            <w:tcW w:w="7019" w:type="dxa"/>
          </w:tcPr>
          <w:p w14:paraId="244421B1" w14:textId="6A9CE6BF" w:rsidR="00002BA8" w:rsidRPr="00002BA8" w:rsidRDefault="00543C9B" w:rsidP="00543C9B">
            <w:pPr>
              <w:spacing w:before="120" w:after="120"/>
              <w:jc w:val="center"/>
              <w:rPr>
                <w:rFonts w:asciiTheme="majorHAnsi" w:hAnsiTheme="majorHAnsi" w:cstheme="majorHAnsi"/>
                <w:b/>
                <w:lang w:val="fr-BE"/>
              </w:rPr>
            </w:pPr>
            <w:r w:rsidRPr="00002BA8">
              <w:rPr>
                <w:rFonts w:asciiTheme="majorHAnsi" w:hAnsiTheme="majorHAnsi" w:cstheme="majorHAnsi"/>
                <w:b/>
                <w:lang w:val="fr-BE"/>
              </w:rPr>
              <w:t>Amendement</w:t>
            </w:r>
            <w:r>
              <w:rPr>
                <w:rFonts w:asciiTheme="majorHAnsi" w:hAnsiTheme="majorHAnsi" w:cstheme="majorHAnsi"/>
                <w:b/>
                <w:lang w:val="fr-BE"/>
              </w:rPr>
              <w:t xml:space="preserve"> 190  (</w:t>
            </w:r>
            <w:r w:rsidRPr="00543C9B">
              <w:rPr>
                <w:rFonts w:asciiTheme="majorHAnsi" w:hAnsiTheme="majorHAnsi" w:cstheme="majorHAnsi"/>
                <w:b/>
                <w:lang w:val="fr-BE"/>
              </w:rPr>
              <w:t xml:space="preserve">Marian-Jean </w:t>
            </w:r>
            <w:proofErr w:type="spellStart"/>
            <w:r w:rsidRPr="00543C9B">
              <w:rPr>
                <w:rFonts w:asciiTheme="majorHAnsi" w:hAnsiTheme="majorHAnsi" w:cstheme="majorHAnsi"/>
                <w:b/>
                <w:lang w:val="fr-BE"/>
              </w:rPr>
              <w:t>Marinescu</w:t>
            </w:r>
            <w:proofErr w:type="spellEnd"/>
            <w:r w:rsidRPr="00543C9B">
              <w:rPr>
                <w:rFonts w:asciiTheme="majorHAnsi" w:hAnsiTheme="majorHAnsi" w:cstheme="majorHAnsi"/>
                <w:b/>
                <w:lang w:val="fr-BE"/>
              </w:rPr>
              <w:t>, EPP)</w:t>
            </w:r>
            <w:r w:rsidR="00002BA8" w:rsidRPr="00002BA8">
              <w:rPr>
                <w:rFonts w:asciiTheme="majorHAnsi" w:hAnsiTheme="majorHAnsi" w:cstheme="majorHAnsi"/>
                <w:b/>
                <w:lang w:val="fr-BE"/>
              </w:rPr>
              <w:t xml:space="preserve"> </w:t>
            </w:r>
          </w:p>
        </w:tc>
      </w:tr>
      <w:tr w:rsidR="00002BA8" w:rsidRPr="0050036D" w14:paraId="72D450D8" w14:textId="77777777" w:rsidTr="00543C9B">
        <w:tc>
          <w:tcPr>
            <w:tcW w:w="2632" w:type="dxa"/>
          </w:tcPr>
          <w:p w14:paraId="34500D33" w14:textId="77777777" w:rsidR="00002BA8" w:rsidRPr="0050036D" w:rsidRDefault="00002BA8" w:rsidP="00543C9B">
            <w:pPr>
              <w:spacing w:before="120" w:after="120"/>
              <w:rPr>
                <w:rFonts w:asciiTheme="majorHAnsi" w:hAnsiTheme="majorHAnsi" w:cstheme="majorHAnsi"/>
                <w:b/>
              </w:rPr>
            </w:pPr>
            <w:r w:rsidRPr="0050036D">
              <w:rPr>
                <w:rFonts w:asciiTheme="majorHAnsi" w:hAnsiTheme="majorHAnsi" w:cstheme="majorHAnsi"/>
                <w:b/>
              </w:rPr>
              <w:t xml:space="preserve">Article 5 </w:t>
            </w:r>
          </w:p>
          <w:p w14:paraId="7E173D82" w14:textId="77777777" w:rsidR="00002BA8" w:rsidRPr="0050036D" w:rsidRDefault="00002BA8" w:rsidP="00543C9B">
            <w:pPr>
              <w:spacing w:before="120" w:after="120"/>
              <w:jc w:val="center"/>
              <w:rPr>
                <w:rFonts w:asciiTheme="majorHAnsi" w:hAnsiTheme="majorHAnsi" w:cstheme="majorHAnsi"/>
                <w:b/>
              </w:rPr>
            </w:pPr>
          </w:p>
        </w:tc>
        <w:tc>
          <w:tcPr>
            <w:tcW w:w="7019" w:type="dxa"/>
          </w:tcPr>
          <w:p w14:paraId="719F56B6" w14:textId="77777777" w:rsidR="00002BA8" w:rsidRPr="0050036D" w:rsidRDefault="00002BA8" w:rsidP="00543C9B">
            <w:pPr>
              <w:widowControl w:val="0"/>
              <w:autoSpaceDE w:val="0"/>
              <w:autoSpaceDN w:val="0"/>
              <w:adjustRightInd w:val="0"/>
              <w:jc w:val="center"/>
              <w:rPr>
                <w:rFonts w:asciiTheme="majorHAnsi" w:hAnsiTheme="majorHAnsi" w:cstheme="majorHAnsi"/>
              </w:rPr>
            </w:pPr>
            <w:r w:rsidRPr="0050036D">
              <w:rPr>
                <w:rFonts w:asciiTheme="majorHAnsi" w:hAnsiTheme="majorHAnsi" w:cstheme="majorHAnsi"/>
                <w:i/>
                <w:iCs/>
              </w:rPr>
              <w:t>‘</w:t>
            </w:r>
            <w:r w:rsidRPr="0050036D">
              <w:rPr>
                <w:rFonts w:asciiTheme="majorHAnsi" w:hAnsiTheme="majorHAnsi" w:cstheme="majorHAnsi"/>
                <w:i/>
                <w:iCs/>
                <w:color w:val="000000"/>
              </w:rPr>
              <w:t>Article 5a</w:t>
            </w:r>
          </w:p>
          <w:p w14:paraId="08CE7111" w14:textId="77777777" w:rsidR="00002BA8" w:rsidRPr="0050036D" w:rsidRDefault="00002BA8" w:rsidP="00543C9B">
            <w:pPr>
              <w:pStyle w:val="Default"/>
              <w:spacing w:before="120" w:after="120"/>
              <w:jc w:val="center"/>
              <w:rPr>
                <w:rFonts w:asciiTheme="majorHAnsi" w:hAnsiTheme="majorHAnsi" w:cstheme="majorHAnsi"/>
                <w:b/>
                <w:iCs/>
                <w:sz w:val="22"/>
                <w:szCs w:val="22"/>
              </w:rPr>
            </w:pPr>
            <w:r w:rsidRPr="0050036D">
              <w:rPr>
                <w:rFonts w:asciiTheme="majorHAnsi" w:hAnsiTheme="majorHAnsi" w:cstheme="majorHAnsi"/>
                <w:b/>
                <w:iCs/>
                <w:sz w:val="22"/>
                <w:szCs w:val="22"/>
              </w:rPr>
              <w:t>Super-credits for 95 g CO2/km target’</w:t>
            </w:r>
          </w:p>
        </w:tc>
      </w:tr>
      <w:tr w:rsidR="00002BA8" w:rsidRPr="0050036D" w14:paraId="4164EBF1" w14:textId="77777777" w:rsidTr="00543C9B">
        <w:tc>
          <w:tcPr>
            <w:tcW w:w="2632" w:type="dxa"/>
          </w:tcPr>
          <w:p w14:paraId="562E6D19" w14:textId="77777777" w:rsidR="00002BA8" w:rsidRPr="0050036D" w:rsidRDefault="00002BA8" w:rsidP="00543C9B">
            <w:pPr>
              <w:spacing w:before="120" w:after="120"/>
              <w:rPr>
                <w:rFonts w:asciiTheme="majorHAnsi" w:hAnsiTheme="majorHAnsi" w:cstheme="majorHAnsi"/>
                <w:b/>
              </w:rPr>
            </w:pPr>
            <w:r w:rsidRPr="0050036D">
              <w:rPr>
                <w:rFonts w:asciiTheme="majorHAnsi" w:hAnsiTheme="majorHAnsi" w:cstheme="majorHAnsi"/>
                <w:b/>
              </w:rPr>
              <w:t>Article 5 b (new)</w:t>
            </w:r>
          </w:p>
        </w:tc>
        <w:tc>
          <w:tcPr>
            <w:tcW w:w="7019" w:type="dxa"/>
          </w:tcPr>
          <w:p w14:paraId="2A917DF6" w14:textId="26795D44" w:rsidR="00002BA8" w:rsidRPr="0050036D" w:rsidRDefault="00002BA8" w:rsidP="00543C9B">
            <w:pPr>
              <w:pStyle w:val="Default"/>
              <w:spacing w:before="120" w:after="120"/>
              <w:jc w:val="both"/>
              <w:rPr>
                <w:rFonts w:asciiTheme="majorHAnsi" w:hAnsiTheme="majorHAnsi" w:cstheme="majorHAnsi"/>
                <w:i/>
                <w:iCs/>
                <w:sz w:val="22"/>
                <w:szCs w:val="22"/>
              </w:rPr>
            </w:pPr>
            <w:r w:rsidRPr="0050036D">
              <w:rPr>
                <w:rFonts w:asciiTheme="majorHAnsi" w:hAnsiTheme="majorHAnsi" w:cstheme="majorHAnsi"/>
                <w:i/>
                <w:iCs/>
                <w:sz w:val="22"/>
                <w:szCs w:val="22"/>
              </w:rPr>
              <w:t>‘Article 5b</w:t>
            </w:r>
          </w:p>
          <w:p w14:paraId="2A9A047C" w14:textId="20315E6D" w:rsidR="00002BA8" w:rsidRDefault="00002BA8" w:rsidP="00543C9B">
            <w:pPr>
              <w:pStyle w:val="Default"/>
              <w:spacing w:before="120" w:after="120"/>
              <w:jc w:val="both"/>
              <w:rPr>
                <w:rFonts w:asciiTheme="majorHAnsi" w:hAnsiTheme="majorHAnsi" w:cstheme="majorHAnsi"/>
                <w:b/>
                <w:iCs/>
                <w:sz w:val="22"/>
                <w:szCs w:val="22"/>
              </w:rPr>
            </w:pPr>
            <w:r w:rsidRPr="0050036D">
              <w:rPr>
                <w:rFonts w:asciiTheme="majorHAnsi" w:hAnsiTheme="majorHAnsi" w:cstheme="majorHAnsi"/>
                <w:b/>
                <w:iCs/>
                <w:sz w:val="22"/>
                <w:szCs w:val="22"/>
              </w:rPr>
              <w:t>Credit for using higher octane petrol in vehicles with positive-ignition engines</w:t>
            </w:r>
          </w:p>
          <w:tbl>
            <w:tblPr>
              <w:tblW w:w="0" w:type="auto"/>
              <w:tblBorders>
                <w:top w:val="nil"/>
                <w:left w:val="nil"/>
                <w:bottom w:val="nil"/>
                <w:right w:val="nil"/>
              </w:tblBorders>
              <w:tblLook w:val="0000" w:firstRow="0" w:lastRow="0" w:firstColumn="0" w:lastColumn="0" w:noHBand="0" w:noVBand="0"/>
            </w:tblPr>
            <w:tblGrid>
              <w:gridCol w:w="6803"/>
            </w:tblGrid>
            <w:tr w:rsidR="00002BA8" w:rsidRPr="00002BA8" w14:paraId="742A3503" w14:textId="77777777">
              <w:tblPrEx>
                <w:tblCellMar>
                  <w:top w:w="0" w:type="dxa"/>
                  <w:bottom w:w="0" w:type="dxa"/>
                </w:tblCellMar>
              </w:tblPrEx>
              <w:trPr>
                <w:trHeight w:val="383"/>
              </w:trPr>
              <w:tc>
                <w:tcPr>
                  <w:tcW w:w="0" w:type="auto"/>
                </w:tcPr>
                <w:p w14:paraId="1DF8FDB8" w14:textId="77777777" w:rsidR="00002BA8" w:rsidRPr="00002BA8" w:rsidRDefault="00002BA8" w:rsidP="00543C9B">
                  <w:pPr>
                    <w:framePr w:hSpace="180" w:wrap="around" w:vAnchor="page" w:hAnchor="margin" w:xAlign="center" w:y="2376"/>
                    <w:autoSpaceDE w:val="0"/>
                    <w:autoSpaceDN w:val="0"/>
                    <w:adjustRightInd w:val="0"/>
                    <w:spacing w:after="0" w:line="240" w:lineRule="auto"/>
                    <w:jc w:val="both"/>
                    <w:rPr>
                      <w:rFonts w:ascii="Times New Roman" w:hAnsi="Times New Roman" w:cs="Times New Roman"/>
                      <w:color w:val="000000"/>
                      <w:sz w:val="23"/>
                      <w:szCs w:val="23"/>
                      <w:u w:val="single"/>
                      <w:lang w:val="en-US"/>
                    </w:rPr>
                  </w:pPr>
                  <w:r w:rsidRPr="00002BA8">
                    <w:rPr>
                      <w:rFonts w:ascii="Times New Roman" w:hAnsi="Times New Roman" w:cs="Times New Roman"/>
                      <w:b/>
                      <w:bCs/>
                      <w:i/>
                      <w:iCs/>
                      <w:color w:val="000000"/>
                      <w:sz w:val="23"/>
                      <w:szCs w:val="23"/>
                      <w:u w:val="single"/>
                      <w:lang w:val="en-US"/>
                    </w:rPr>
                    <w:t xml:space="preserve">Article 5b Credit for using </w:t>
                  </w:r>
                  <w:proofErr w:type="gramStart"/>
                  <w:r w:rsidRPr="00002BA8">
                    <w:rPr>
                      <w:rFonts w:ascii="Times New Roman" w:hAnsi="Times New Roman" w:cs="Times New Roman"/>
                      <w:b/>
                      <w:bCs/>
                      <w:i/>
                      <w:iCs/>
                      <w:color w:val="000000"/>
                      <w:sz w:val="23"/>
                      <w:szCs w:val="23"/>
                      <w:u w:val="single"/>
                      <w:lang w:val="en-US"/>
                    </w:rPr>
                    <w:t>higher octane</w:t>
                  </w:r>
                  <w:proofErr w:type="gramEnd"/>
                  <w:r w:rsidRPr="00002BA8">
                    <w:rPr>
                      <w:rFonts w:ascii="Times New Roman" w:hAnsi="Times New Roman" w:cs="Times New Roman"/>
                      <w:b/>
                      <w:bCs/>
                      <w:i/>
                      <w:iCs/>
                      <w:color w:val="000000"/>
                      <w:sz w:val="23"/>
                      <w:szCs w:val="23"/>
                      <w:u w:val="single"/>
                      <w:lang w:val="en-US"/>
                    </w:rPr>
                    <w:t xml:space="preserve"> petrol in vehicles with positive-ignition engines. </w:t>
                  </w:r>
                </w:p>
              </w:tc>
            </w:tr>
            <w:tr w:rsidR="00002BA8" w:rsidRPr="00002BA8" w14:paraId="54F8AE19" w14:textId="77777777">
              <w:tblPrEx>
                <w:tblCellMar>
                  <w:top w:w="0" w:type="dxa"/>
                  <w:bottom w:w="0" w:type="dxa"/>
                </w:tblCellMar>
              </w:tblPrEx>
              <w:trPr>
                <w:trHeight w:val="3695"/>
              </w:trPr>
              <w:tc>
                <w:tcPr>
                  <w:tcW w:w="0" w:type="auto"/>
                </w:tcPr>
                <w:p w14:paraId="3CD5B5D1" w14:textId="77777777" w:rsidR="00543C9B" w:rsidRPr="00543C9B" w:rsidRDefault="00002BA8" w:rsidP="00543C9B">
                  <w:pPr>
                    <w:framePr w:hSpace="180" w:wrap="around" w:vAnchor="page" w:hAnchor="margin" w:xAlign="center" w:y="2376"/>
                    <w:autoSpaceDE w:val="0"/>
                    <w:autoSpaceDN w:val="0"/>
                    <w:adjustRightInd w:val="0"/>
                    <w:spacing w:after="0" w:line="240" w:lineRule="auto"/>
                    <w:jc w:val="both"/>
                    <w:rPr>
                      <w:rFonts w:ascii="Times New Roman" w:hAnsi="Times New Roman" w:cs="Times New Roman"/>
                      <w:color w:val="000000"/>
                      <w:sz w:val="23"/>
                      <w:szCs w:val="23"/>
                      <w:u w:val="single"/>
                      <w:lang w:val="en-US"/>
                    </w:rPr>
                  </w:pPr>
                  <w:proofErr w:type="gramStart"/>
                  <w:r w:rsidRPr="00002BA8">
                    <w:rPr>
                      <w:rFonts w:ascii="Times New Roman" w:hAnsi="Times New Roman" w:cs="Times New Roman"/>
                      <w:b/>
                      <w:bCs/>
                      <w:i/>
                      <w:iCs/>
                      <w:color w:val="000000"/>
                      <w:sz w:val="23"/>
                      <w:szCs w:val="23"/>
                      <w:u w:val="single"/>
                      <w:lang w:val="en-US"/>
                    </w:rPr>
                    <w:t>For the monitoring of manufacturer compliance with its specific CO</w:t>
                  </w:r>
                  <w:r w:rsidRPr="00002BA8">
                    <w:rPr>
                      <w:rFonts w:ascii="Times New Roman" w:hAnsi="Times New Roman" w:cs="Times New Roman"/>
                      <w:b/>
                      <w:bCs/>
                      <w:i/>
                      <w:iCs/>
                      <w:color w:val="000000"/>
                      <w:sz w:val="13"/>
                      <w:szCs w:val="13"/>
                      <w:u w:val="single"/>
                      <w:lang w:val="en-US"/>
                    </w:rPr>
                    <w:t xml:space="preserve">2 </w:t>
                  </w:r>
                  <w:r w:rsidRPr="00002BA8">
                    <w:rPr>
                      <w:rFonts w:ascii="Times New Roman" w:hAnsi="Times New Roman" w:cs="Times New Roman"/>
                      <w:b/>
                      <w:bCs/>
                      <w:i/>
                      <w:iCs/>
                      <w:color w:val="000000"/>
                      <w:sz w:val="23"/>
                      <w:szCs w:val="23"/>
                      <w:u w:val="single"/>
                      <w:lang w:val="en-US"/>
                    </w:rPr>
                    <w:t>emissions target, the specific emissions of CO</w:t>
                  </w:r>
                  <w:r w:rsidRPr="00002BA8">
                    <w:rPr>
                      <w:rFonts w:ascii="Times New Roman" w:hAnsi="Times New Roman" w:cs="Times New Roman"/>
                      <w:b/>
                      <w:bCs/>
                      <w:i/>
                      <w:iCs/>
                      <w:color w:val="000000"/>
                      <w:sz w:val="13"/>
                      <w:szCs w:val="13"/>
                      <w:u w:val="single"/>
                      <w:lang w:val="en-US"/>
                    </w:rPr>
                    <w:t xml:space="preserve">2 </w:t>
                  </w:r>
                  <w:r w:rsidRPr="00002BA8">
                    <w:rPr>
                      <w:rFonts w:ascii="Times New Roman" w:hAnsi="Times New Roman" w:cs="Times New Roman"/>
                      <w:b/>
                      <w:bCs/>
                      <w:i/>
                      <w:iCs/>
                      <w:color w:val="000000"/>
                      <w:sz w:val="23"/>
                      <w:szCs w:val="23"/>
                      <w:u w:val="single"/>
                      <w:lang w:val="en-US"/>
                    </w:rPr>
                    <w:t>of each new passenger car determined according to Part A.1 of Annex I or of each light commercial vehicle determined according to Part B.1 of Annex I shall be reduced by 5% in cases where the new vehicle engine has a higher compression ratio that will be more efficient when using a high-octane petrol.</w:t>
                  </w:r>
                  <w:proofErr w:type="gramEnd"/>
                  <w:r w:rsidRPr="00002BA8">
                    <w:rPr>
                      <w:rFonts w:ascii="Times New Roman" w:hAnsi="Times New Roman" w:cs="Times New Roman"/>
                      <w:b/>
                      <w:bCs/>
                      <w:i/>
                      <w:iCs/>
                      <w:color w:val="000000"/>
                      <w:sz w:val="23"/>
                      <w:szCs w:val="23"/>
                      <w:u w:val="single"/>
                      <w:lang w:val="en-US"/>
                    </w:rPr>
                    <w:t xml:space="preserve"> This reduction shall apply only where at least 5% of the public </w:t>
                  </w:r>
                  <w:proofErr w:type="spellStart"/>
                  <w:r w:rsidRPr="00002BA8">
                    <w:rPr>
                      <w:rFonts w:ascii="Times New Roman" w:hAnsi="Times New Roman" w:cs="Times New Roman"/>
                      <w:b/>
                      <w:bCs/>
                      <w:i/>
                      <w:iCs/>
                      <w:color w:val="000000"/>
                      <w:sz w:val="23"/>
                      <w:szCs w:val="23"/>
                      <w:u w:val="single"/>
                      <w:lang w:val="en-US"/>
                    </w:rPr>
                    <w:t>refuelling</w:t>
                  </w:r>
                  <w:proofErr w:type="spellEnd"/>
                  <w:r w:rsidRPr="00002BA8">
                    <w:rPr>
                      <w:rFonts w:ascii="Times New Roman" w:hAnsi="Times New Roman" w:cs="Times New Roman"/>
                      <w:b/>
                      <w:bCs/>
                      <w:i/>
                      <w:iCs/>
                      <w:color w:val="000000"/>
                      <w:sz w:val="23"/>
                      <w:szCs w:val="23"/>
                      <w:u w:val="single"/>
                      <w:lang w:val="en-US"/>
                    </w:rPr>
                    <w:t xml:space="preserve"> stations offer for sale high-octane petrol in the Member State in which the new vehicle is registered. </w:t>
                  </w:r>
                  <w:proofErr w:type="gramStart"/>
                  <w:r w:rsidRPr="00002BA8">
                    <w:rPr>
                      <w:rFonts w:ascii="Times New Roman" w:hAnsi="Times New Roman" w:cs="Times New Roman"/>
                      <w:b/>
                      <w:bCs/>
                      <w:i/>
                      <w:iCs/>
                      <w:color w:val="000000"/>
                      <w:sz w:val="23"/>
                      <w:szCs w:val="23"/>
                      <w:u w:val="single"/>
                      <w:lang w:val="en-US"/>
                    </w:rPr>
                    <w:t>That percentage availability of high-octane petrol shall be increased by 5% on 1 January each year and such adjustment of the new vehicle specific emissions of CO</w:t>
                  </w:r>
                  <w:r w:rsidRPr="00002BA8">
                    <w:rPr>
                      <w:rFonts w:ascii="Times New Roman" w:hAnsi="Times New Roman" w:cs="Times New Roman"/>
                      <w:b/>
                      <w:bCs/>
                      <w:i/>
                      <w:iCs/>
                      <w:color w:val="000000"/>
                      <w:sz w:val="13"/>
                      <w:szCs w:val="13"/>
                      <w:u w:val="single"/>
                      <w:lang w:val="en-US"/>
                    </w:rPr>
                    <w:t xml:space="preserve">2 </w:t>
                  </w:r>
                  <w:r w:rsidRPr="00002BA8">
                    <w:rPr>
                      <w:rFonts w:ascii="Times New Roman" w:hAnsi="Times New Roman" w:cs="Times New Roman"/>
                      <w:b/>
                      <w:bCs/>
                      <w:i/>
                      <w:iCs/>
                      <w:color w:val="000000"/>
                      <w:sz w:val="23"/>
                      <w:szCs w:val="23"/>
                      <w:u w:val="single"/>
                      <w:lang w:val="en-US"/>
                    </w:rPr>
                    <w:t>shall remain applicable until a type-approval reference petrol specification with a minimum octane of 102 is implemented through the relevant EU legislation and official new vehicle specific emissions of CO</w:t>
                  </w:r>
                  <w:r w:rsidRPr="00002BA8">
                    <w:rPr>
                      <w:rFonts w:ascii="Times New Roman" w:hAnsi="Times New Roman" w:cs="Times New Roman"/>
                      <w:b/>
                      <w:bCs/>
                      <w:i/>
                      <w:iCs/>
                      <w:color w:val="000000"/>
                      <w:sz w:val="13"/>
                      <w:szCs w:val="13"/>
                      <w:u w:val="single"/>
                      <w:lang w:val="en-US"/>
                    </w:rPr>
                    <w:t xml:space="preserve">2 </w:t>
                  </w:r>
                  <w:r w:rsidRPr="00002BA8">
                    <w:rPr>
                      <w:rFonts w:ascii="Times New Roman" w:hAnsi="Times New Roman" w:cs="Times New Roman"/>
                      <w:b/>
                      <w:bCs/>
                      <w:i/>
                      <w:iCs/>
                      <w:color w:val="000000"/>
                      <w:sz w:val="23"/>
                      <w:szCs w:val="23"/>
                      <w:u w:val="single"/>
                      <w:lang w:val="en-US"/>
                    </w:rPr>
                    <w:t>can be measured using high-octane petrol.</w:t>
                  </w:r>
                  <w:proofErr w:type="gramEnd"/>
                  <w:r w:rsidRPr="00002BA8">
                    <w:rPr>
                      <w:rFonts w:ascii="Times New Roman" w:hAnsi="Times New Roman" w:cs="Times New Roman"/>
                      <w:b/>
                      <w:bCs/>
                      <w:i/>
                      <w:iCs/>
                      <w:color w:val="000000"/>
                      <w:sz w:val="23"/>
                      <w:szCs w:val="23"/>
                      <w:u w:val="single"/>
                      <w:lang w:val="en-US"/>
                    </w:rPr>
                    <w:t xml:space="preserve"> The Commission shall, as soon as possible, </w:t>
                  </w:r>
                </w:p>
                <w:p w14:paraId="599F7826" w14:textId="77777777" w:rsidR="00543C9B" w:rsidRPr="00543C9B" w:rsidRDefault="00543C9B" w:rsidP="00543C9B">
                  <w:pPr>
                    <w:pStyle w:val="Default"/>
                    <w:framePr w:hSpace="180" w:wrap="around" w:vAnchor="page" w:hAnchor="margin" w:xAlign="center" w:y="2376"/>
                    <w:jc w:val="both"/>
                    <w:rPr>
                      <w:sz w:val="23"/>
                      <w:szCs w:val="23"/>
                      <w:u w:val="single"/>
                    </w:rPr>
                  </w:pPr>
                  <w:proofErr w:type="gramStart"/>
                  <w:r w:rsidRPr="00543C9B">
                    <w:rPr>
                      <w:b/>
                      <w:bCs/>
                      <w:i/>
                      <w:iCs/>
                      <w:sz w:val="23"/>
                      <w:szCs w:val="23"/>
                      <w:u w:val="single"/>
                    </w:rPr>
                    <w:t>bring forward a proposal to amend Directive 98/70/EC to establish the quality parameters and roadmap for the sale across the European Union of petrol with a minimum octane of 102 that will, as far as possible, be concurrent with the rate of introduction of new vehicles with high compression ratio petrol engines and request CEN to prepare the relevant EN standard for minimum 102 octane petrol.</w:t>
                  </w:r>
                  <w:proofErr w:type="gramEnd"/>
                  <w:r w:rsidRPr="00543C9B">
                    <w:rPr>
                      <w:b/>
                      <w:bCs/>
                      <w:i/>
                      <w:iCs/>
                      <w:sz w:val="23"/>
                      <w:szCs w:val="23"/>
                      <w:u w:val="single"/>
                    </w:rPr>
                    <w:t xml:space="preserve"> The Commission shall also bring forward an amendment to Regulations 715/2008, 692/2009 and 2017/1151 to introduce a reference petrol with a minimum 102 RON for the measurement of official pollutant emission and CO</w:t>
                  </w:r>
                  <w:r w:rsidRPr="00543C9B">
                    <w:rPr>
                      <w:b/>
                      <w:bCs/>
                      <w:i/>
                      <w:iCs/>
                      <w:sz w:val="13"/>
                      <w:szCs w:val="13"/>
                      <w:u w:val="single"/>
                    </w:rPr>
                    <w:t xml:space="preserve">2 </w:t>
                  </w:r>
                  <w:r w:rsidRPr="00543C9B">
                    <w:rPr>
                      <w:b/>
                      <w:bCs/>
                      <w:i/>
                      <w:iCs/>
                      <w:sz w:val="23"/>
                      <w:szCs w:val="23"/>
                      <w:u w:val="single"/>
                    </w:rPr>
                    <w:t xml:space="preserve">values.’ </w:t>
                  </w:r>
                </w:p>
                <w:p w14:paraId="1240A4A3" w14:textId="067475BE" w:rsidR="00002BA8" w:rsidRPr="00002BA8" w:rsidRDefault="00002BA8" w:rsidP="00543C9B">
                  <w:pPr>
                    <w:framePr w:hSpace="180" w:wrap="around" w:vAnchor="page" w:hAnchor="margin" w:xAlign="center" w:y="2376"/>
                    <w:autoSpaceDE w:val="0"/>
                    <w:autoSpaceDN w:val="0"/>
                    <w:adjustRightInd w:val="0"/>
                    <w:spacing w:after="0" w:line="240" w:lineRule="auto"/>
                    <w:jc w:val="both"/>
                    <w:rPr>
                      <w:rFonts w:ascii="Times New Roman" w:hAnsi="Times New Roman" w:cs="Times New Roman"/>
                      <w:color w:val="000000"/>
                      <w:sz w:val="23"/>
                      <w:szCs w:val="23"/>
                      <w:u w:val="single"/>
                      <w:lang w:val="en-US"/>
                    </w:rPr>
                  </w:pPr>
                </w:p>
              </w:tc>
            </w:tr>
          </w:tbl>
          <w:p w14:paraId="71AAD2C6" w14:textId="126B7714" w:rsidR="00002BA8" w:rsidRPr="0050036D" w:rsidRDefault="00002BA8" w:rsidP="00543C9B">
            <w:pPr>
              <w:pStyle w:val="Default"/>
              <w:spacing w:before="120" w:after="120"/>
              <w:jc w:val="both"/>
              <w:rPr>
                <w:rFonts w:asciiTheme="majorHAnsi" w:hAnsiTheme="majorHAnsi" w:cstheme="majorHAnsi"/>
                <w:b/>
                <w:iCs/>
                <w:sz w:val="22"/>
                <w:szCs w:val="22"/>
                <w:u w:val="single"/>
              </w:rPr>
            </w:pPr>
          </w:p>
        </w:tc>
      </w:tr>
      <w:tr w:rsidR="00002BA8" w:rsidRPr="0050036D" w14:paraId="21326895" w14:textId="77777777" w:rsidTr="00543C9B">
        <w:tc>
          <w:tcPr>
            <w:tcW w:w="9651" w:type="dxa"/>
            <w:gridSpan w:val="2"/>
          </w:tcPr>
          <w:p w14:paraId="08CA2004" w14:textId="77777777" w:rsidR="00002BA8" w:rsidRDefault="00002BA8" w:rsidP="00543C9B">
            <w:pPr>
              <w:spacing w:before="120" w:after="120"/>
              <w:rPr>
                <w:rFonts w:asciiTheme="majorHAnsi" w:hAnsiTheme="majorHAnsi" w:cstheme="majorHAnsi"/>
                <w:b/>
                <w:i/>
              </w:rPr>
            </w:pPr>
            <w:r w:rsidRPr="0050036D">
              <w:rPr>
                <w:rFonts w:asciiTheme="majorHAnsi" w:hAnsiTheme="majorHAnsi" w:cstheme="majorHAnsi"/>
                <w:b/>
                <w:i/>
              </w:rPr>
              <w:t>Justification:</w:t>
            </w:r>
          </w:p>
          <w:p w14:paraId="6FC9864F" w14:textId="2B54264C" w:rsidR="00543C9B" w:rsidRPr="00543C9B" w:rsidRDefault="00543C9B" w:rsidP="00543C9B">
            <w:pPr>
              <w:spacing w:before="120" w:after="120"/>
              <w:rPr>
                <w:rFonts w:asciiTheme="majorHAnsi" w:hAnsiTheme="majorHAnsi" w:cstheme="majorHAnsi"/>
                <w:b/>
                <w:i/>
              </w:rPr>
            </w:pPr>
            <w:r>
              <w:rPr>
                <w:i/>
                <w:iCs/>
                <w:sz w:val="23"/>
                <w:szCs w:val="23"/>
              </w:rPr>
              <w:t xml:space="preserve">This AM ensures technology neutrality -which is a key pillar of the EU legislation- of the proposal. It therefore ensures overall consistency of EU legislation. The AM </w:t>
            </w:r>
            <w:proofErr w:type="gramStart"/>
            <w:r>
              <w:rPr>
                <w:i/>
                <w:iCs/>
                <w:sz w:val="23"/>
                <w:szCs w:val="23"/>
              </w:rPr>
              <w:t>is directly linked</w:t>
            </w:r>
            <w:proofErr w:type="gramEnd"/>
            <w:r>
              <w:rPr>
                <w:i/>
                <w:iCs/>
                <w:sz w:val="23"/>
                <w:szCs w:val="23"/>
              </w:rPr>
              <w:t xml:space="preserve"> to Part IA of Annex I. Regulated pollutant and CO2 emissions are currently measured using petrol with an octane rating between 95 and 98 RON. Engines capable of running more efficiently with a higher-octane petrol are penalised from not being able to demonstrate better engine efficiency and lower CO2 emissions. The AM encourages vehicle manufacturers to put on the market more efficient engines.</w:t>
            </w:r>
          </w:p>
        </w:tc>
      </w:tr>
    </w:tbl>
    <w:p w14:paraId="5B02CFDC" w14:textId="77777777" w:rsidR="00002BA8" w:rsidRPr="00002BA8" w:rsidRDefault="00002BA8" w:rsidP="00002BA8">
      <w:pPr>
        <w:spacing w:after="0" w:line="240" w:lineRule="auto"/>
        <w:ind w:right="-514"/>
        <w:jc w:val="center"/>
        <w:rPr>
          <w:rFonts w:asciiTheme="majorHAnsi" w:hAnsiTheme="majorHAnsi" w:cstheme="majorHAnsi"/>
          <w:b/>
          <w:color w:val="5B9BD5" w:themeColor="accent1"/>
          <w:sz w:val="32"/>
          <w:szCs w:val="28"/>
        </w:rPr>
      </w:pPr>
    </w:p>
    <w:sectPr w:rsidR="00002BA8" w:rsidRPr="00002BA8" w:rsidSect="00E4421B">
      <w:headerReference w:type="default" r:id="rId9"/>
      <w:footerReference w:type="default" r:id="rId10"/>
      <w:pgSz w:w="11906" w:h="16838"/>
      <w:pgMar w:top="1713" w:right="1440" w:bottom="540" w:left="144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DDE6" w14:textId="77777777" w:rsidR="00697128" w:rsidRDefault="00697128" w:rsidP="00B37B5F">
      <w:pPr>
        <w:spacing w:after="0" w:line="240" w:lineRule="auto"/>
      </w:pPr>
      <w:r>
        <w:separator/>
      </w:r>
    </w:p>
  </w:endnote>
  <w:endnote w:type="continuationSeparator" w:id="0">
    <w:p w14:paraId="5E96225E" w14:textId="77777777" w:rsidR="00697128" w:rsidRDefault="00697128" w:rsidP="00B3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170505"/>
      <w:docPartObj>
        <w:docPartGallery w:val="Page Numbers (Bottom of Page)"/>
        <w:docPartUnique/>
      </w:docPartObj>
    </w:sdtPr>
    <w:sdtEndPr>
      <w:rPr>
        <w:noProof/>
      </w:rPr>
    </w:sdtEndPr>
    <w:sdtContent>
      <w:p w14:paraId="439FC450" w14:textId="3470D34A" w:rsidR="0033466D" w:rsidRDefault="00BC18FF" w:rsidP="00CA1527">
        <w:pPr>
          <w:pStyle w:val="Footer"/>
          <w:jc w:val="right"/>
        </w:pPr>
        <w:r>
          <w:fldChar w:fldCharType="begin"/>
        </w:r>
        <w:r>
          <w:instrText xml:space="preserve"> PAGE   \* MERGEFORMAT </w:instrText>
        </w:r>
        <w:r>
          <w:fldChar w:fldCharType="separate"/>
        </w:r>
        <w:r w:rsidR="00C253C9">
          <w:rPr>
            <w:noProof/>
          </w:rPr>
          <w:t>6</w:t>
        </w:r>
        <w:r>
          <w:rPr>
            <w:noProof/>
          </w:rPr>
          <w:fldChar w:fldCharType="end"/>
        </w:r>
      </w:p>
    </w:sdtContent>
  </w:sdt>
  <w:p w14:paraId="633B0069" w14:textId="77777777" w:rsidR="0033466D" w:rsidRDefault="00C2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07996" w14:textId="77777777" w:rsidR="00697128" w:rsidRDefault="00697128" w:rsidP="00B37B5F">
      <w:pPr>
        <w:spacing w:after="0" w:line="240" w:lineRule="auto"/>
      </w:pPr>
      <w:r>
        <w:separator/>
      </w:r>
    </w:p>
  </w:footnote>
  <w:footnote w:type="continuationSeparator" w:id="0">
    <w:p w14:paraId="7C91A4CA" w14:textId="77777777" w:rsidR="00697128" w:rsidRDefault="00697128" w:rsidP="00B37B5F">
      <w:pPr>
        <w:spacing w:after="0" w:line="240" w:lineRule="auto"/>
      </w:pPr>
      <w:r>
        <w:continuationSeparator/>
      </w:r>
    </w:p>
  </w:footnote>
  <w:footnote w:id="1">
    <w:p w14:paraId="0F1C19F6" w14:textId="77777777" w:rsidR="00B37B5F" w:rsidRDefault="00B37B5F" w:rsidP="00B37B5F">
      <w:pPr>
        <w:pStyle w:val="FootnoteText"/>
      </w:pPr>
      <w:r>
        <w:rPr>
          <w:rStyle w:val="FootnoteReference"/>
        </w:rPr>
        <w:footnoteRef/>
      </w:r>
      <w:r>
        <w:t xml:space="preserve"> Octane is the </w:t>
      </w:r>
      <w:r>
        <w:rPr>
          <w:rStyle w:val="st"/>
        </w:rPr>
        <w:t xml:space="preserve">measure of the ability of a fuel to properly perform in a higher efficient internal combustion engine, in turn enabling the engine to extract more kilometres or/and more power out the fuel.  </w:t>
      </w:r>
    </w:p>
  </w:footnote>
  <w:footnote w:id="2">
    <w:p w14:paraId="441CB32E" w14:textId="77777777" w:rsidR="00B37B5F" w:rsidRDefault="00B37B5F" w:rsidP="00B37B5F">
      <w:pPr>
        <w:pStyle w:val="FootnoteText"/>
      </w:pPr>
      <w:r>
        <w:rPr>
          <w:rStyle w:val="FootnoteReference"/>
        </w:rPr>
        <w:footnoteRef/>
      </w:r>
      <w:r>
        <w:t xml:space="preserve"> Source:</w:t>
      </w:r>
      <w:r w:rsidRPr="00142F25">
        <w:t xml:space="preserve"> </w:t>
      </w:r>
      <w:proofErr w:type="spellStart"/>
      <w:r w:rsidRPr="007364F0">
        <w:t>Fraunhofer</w:t>
      </w:r>
      <w:proofErr w:type="spellEnd"/>
      <w:r w:rsidRPr="007364F0">
        <w:t xml:space="preserve"> Institute “Real-world fuel economy and CO</w:t>
      </w:r>
      <w:r w:rsidRPr="009078A9">
        <w:rPr>
          <w:vertAlign w:val="subscript"/>
        </w:rPr>
        <w:t>2</w:t>
      </w:r>
      <w:r w:rsidRPr="007364F0">
        <w:t xml:space="preserve"> emissions of plug-in hybrid electric vehicles”</w:t>
      </w:r>
    </w:p>
  </w:footnote>
  <w:footnote w:id="3">
    <w:p w14:paraId="1C12CA20" w14:textId="1D570A07" w:rsidR="00804076" w:rsidRPr="009126F1" w:rsidRDefault="003621E7" w:rsidP="00F030FC">
      <w:pPr>
        <w:spacing w:before="100" w:beforeAutospacing="1" w:after="100" w:afterAutospacing="1" w:line="240" w:lineRule="auto"/>
        <w:ind w:left="360"/>
        <w:rPr>
          <w:rFonts w:ascii="Calibri" w:eastAsia="Times New Roman" w:hAnsi="Calibri"/>
          <w:sz w:val="18"/>
          <w:lang w:val="en-US"/>
        </w:rPr>
      </w:pPr>
      <w:r w:rsidRPr="009126F1">
        <w:rPr>
          <w:rStyle w:val="FootnoteReference"/>
          <w:sz w:val="18"/>
        </w:rPr>
        <w:footnoteRef/>
      </w:r>
      <w:r w:rsidRPr="009126F1">
        <w:rPr>
          <w:sz w:val="18"/>
        </w:rPr>
        <w:t xml:space="preserve"> </w:t>
      </w:r>
      <w:r w:rsidR="001E4129" w:rsidRPr="009126F1">
        <w:rPr>
          <w:sz w:val="18"/>
        </w:rPr>
        <w:t xml:space="preserve">This position paper refers to </w:t>
      </w:r>
      <w:r w:rsidR="00B206CE" w:rsidRPr="009126F1">
        <w:rPr>
          <w:sz w:val="18"/>
        </w:rPr>
        <w:t>h</w:t>
      </w:r>
      <w:proofErr w:type="spellStart"/>
      <w:r w:rsidR="00B206CE" w:rsidRPr="009126F1">
        <w:rPr>
          <w:sz w:val="18"/>
          <w:lang w:val="en-US"/>
        </w:rPr>
        <w:t>igh</w:t>
      </w:r>
      <w:proofErr w:type="spellEnd"/>
      <w:r w:rsidR="00B206CE" w:rsidRPr="009126F1">
        <w:rPr>
          <w:sz w:val="18"/>
          <w:lang w:val="en-US"/>
        </w:rPr>
        <w:t>-octane</w:t>
      </w:r>
      <w:r w:rsidRPr="009126F1">
        <w:rPr>
          <w:sz w:val="18"/>
          <w:lang w:val="en-US"/>
        </w:rPr>
        <w:t xml:space="preserve"> </w:t>
      </w:r>
      <w:r w:rsidR="00B206CE" w:rsidRPr="009126F1">
        <w:rPr>
          <w:sz w:val="18"/>
          <w:lang w:val="en-US"/>
        </w:rPr>
        <w:t>petrol, which</w:t>
      </w:r>
      <w:r w:rsidR="001E4129" w:rsidRPr="009126F1">
        <w:rPr>
          <w:sz w:val="18"/>
          <w:lang w:val="en-US"/>
        </w:rPr>
        <w:t xml:space="preserve"> also has</w:t>
      </w:r>
      <w:r w:rsidRPr="009126F1">
        <w:rPr>
          <w:sz w:val="18"/>
          <w:lang w:val="en-US"/>
        </w:rPr>
        <w:t xml:space="preserve"> high energy density</w:t>
      </w:r>
      <w:r w:rsidR="00B206CE" w:rsidRPr="009126F1">
        <w:rPr>
          <w:sz w:val="18"/>
          <w:lang w:val="en-US"/>
        </w:rPr>
        <w:t xml:space="preserve">. </w:t>
      </w:r>
      <w:r w:rsidR="001F6D66" w:rsidRPr="009126F1">
        <w:rPr>
          <w:bCs/>
          <w:sz w:val="18"/>
          <w:lang w:val="en-US"/>
        </w:rPr>
        <w:t>Energy density</w:t>
      </w:r>
      <w:r w:rsidR="001F6D66" w:rsidRPr="009126F1">
        <w:rPr>
          <w:sz w:val="18"/>
          <w:lang w:val="en-US"/>
        </w:rPr>
        <w:t xml:space="preserve"> is the amount of </w:t>
      </w:r>
      <w:r w:rsidR="001F6D66" w:rsidRPr="009126F1">
        <w:rPr>
          <w:bCs/>
          <w:sz w:val="18"/>
          <w:lang w:val="en-US"/>
        </w:rPr>
        <w:t>energy</w:t>
      </w:r>
      <w:r w:rsidR="001F6D66" w:rsidRPr="009126F1">
        <w:rPr>
          <w:sz w:val="18"/>
          <w:lang w:val="en-US"/>
        </w:rPr>
        <w:t xml:space="preserve"> stored in a given system or region of space per unit volume.</w:t>
      </w:r>
      <w:r w:rsidR="00804076" w:rsidRPr="009126F1">
        <w:rPr>
          <w:sz w:val="18"/>
          <w:lang w:val="en-US"/>
        </w:rPr>
        <w:t xml:space="preserve"> High Octane Fuels </w:t>
      </w:r>
      <w:r w:rsidR="00804076" w:rsidRPr="009126F1">
        <w:rPr>
          <w:rFonts w:ascii="Calibri" w:eastAsia="Times New Roman" w:hAnsi="Calibri"/>
          <w:sz w:val="18"/>
        </w:rPr>
        <w:t xml:space="preserve">(and blend-stocks) contribute to efficiency both directly, via their energy content and indirectly, enabling the engine to extract </w:t>
      </w:r>
      <w:proofErr w:type="gramStart"/>
      <w:r w:rsidR="00804076" w:rsidRPr="009126F1">
        <w:rPr>
          <w:rFonts w:ascii="Calibri" w:eastAsia="Times New Roman" w:hAnsi="Calibri"/>
          <w:sz w:val="18"/>
        </w:rPr>
        <w:t>more useful mechanical w</w:t>
      </w:r>
      <w:r w:rsidR="00B20D05" w:rsidRPr="009126F1">
        <w:rPr>
          <w:rFonts w:ascii="Calibri" w:eastAsia="Times New Roman" w:hAnsi="Calibri"/>
          <w:sz w:val="18"/>
        </w:rPr>
        <w:t>ork out of the available energy</w:t>
      </w:r>
      <w:proofErr w:type="gramEnd"/>
      <w:r w:rsidR="00B20D05" w:rsidRPr="009126F1">
        <w:rPr>
          <w:rFonts w:ascii="Calibri" w:eastAsia="Times New Roman" w:hAnsi="Calibri"/>
          <w:sz w:val="18"/>
        </w:rPr>
        <w:t>.</w:t>
      </w:r>
    </w:p>
    <w:p w14:paraId="17E0DC02" w14:textId="77777777" w:rsidR="003621E7" w:rsidRPr="00D51A9E" w:rsidRDefault="003621E7" w:rsidP="001F6D66">
      <w:pPr>
        <w:pStyle w:val="FootnoteText"/>
        <w:rPr>
          <w:lang w:val="en-US"/>
        </w:rPr>
      </w:pPr>
    </w:p>
  </w:footnote>
  <w:footnote w:id="4">
    <w:p w14:paraId="56F26C4F" w14:textId="7FCF4827" w:rsidR="009126F1" w:rsidRPr="009126F1" w:rsidRDefault="009126F1">
      <w:pPr>
        <w:pStyle w:val="FootnoteText"/>
        <w:rPr>
          <w:lang w:val="en-US"/>
        </w:rPr>
      </w:pPr>
      <w:r>
        <w:rPr>
          <w:rStyle w:val="FootnoteReference"/>
        </w:rPr>
        <w:footnoteRef/>
      </w:r>
      <w:r>
        <w:t xml:space="preserve"> </w:t>
      </w:r>
      <w:r>
        <w:rPr>
          <w:lang w:val="en-US"/>
        </w:rPr>
        <w:t>ACEA –</w:t>
      </w:r>
      <w:r w:rsidR="00931F1C">
        <w:rPr>
          <w:lang w:val="en-US"/>
        </w:rPr>
        <w:t xml:space="preserve"> The </w:t>
      </w:r>
      <w:r>
        <w:rPr>
          <w:lang w:val="en-US"/>
        </w:rPr>
        <w:t xml:space="preserve">European Car Manufacturers Association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C97D" w14:textId="55807D73" w:rsidR="003F31CF" w:rsidRDefault="00C253C9" w:rsidP="003F31CF">
    <w:pPr>
      <w:pStyle w:val="Header"/>
    </w:pPr>
    <w:r>
      <w:rPr>
        <w:rFonts w:cstheme="minorHAnsi"/>
        <w:b/>
        <w:i/>
        <w:color w:val="000000" w:themeColor="text1"/>
        <w:sz w:val="21"/>
        <w:szCs w:val="21"/>
      </w:rPr>
      <w:t xml:space="preserve">July </w:t>
    </w:r>
    <w:r w:rsidR="009126F1" w:rsidRPr="00676477">
      <w:rPr>
        <w:rFonts w:cstheme="minorHAnsi"/>
        <w:i/>
        <w:color w:val="000000" w:themeColor="text1"/>
        <w:sz w:val="21"/>
        <w:szCs w:val="21"/>
      </w:rPr>
      <w:t xml:space="preserve">2018 </w:t>
    </w:r>
    <w:r w:rsidR="00BC18FF">
      <w:rPr>
        <w:noProof/>
        <w:lang w:val="en-US"/>
      </w:rPr>
      <w:drawing>
        <wp:anchor distT="0" distB="0" distL="114300" distR="114300" simplePos="0" relativeHeight="251659264" behindDoc="1" locked="0" layoutInCell="1" allowOverlap="1" wp14:anchorId="69820DB9" wp14:editId="0E82944A">
          <wp:simplePos x="0" y="0"/>
          <wp:positionH relativeFrom="margin">
            <wp:posOffset>4980940</wp:posOffset>
          </wp:positionH>
          <wp:positionV relativeFrom="paragraph">
            <wp:posOffset>-368300</wp:posOffset>
          </wp:positionV>
          <wp:extent cx="784225" cy="756285"/>
          <wp:effectExtent l="0" t="0" r="0" b="5715"/>
          <wp:wrapTight wrapText="bothSides">
            <wp:wrapPolygon edited="0">
              <wp:start x="0" y="0"/>
              <wp:lineTo x="0" y="21219"/>
              <wp:lineTo x="20988" y="21219"/>
              <wp:lineTo x="20988" y="0"/>
              <wp:lineTo x="0" y="0"/>
            </wp:wrapPolygon>
          </wp:wrapTight>
          <wp:docPr id="7" name="Picture 52" descr="L:\FH BRU CLIENTS\EFOA\2014\Communication\Logo\EFO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H BRU CLIENTS\EFOA\2014\Communication\Logo\EFO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6A2F1" w14:textId="77777777" w:rsidR="003F31CF" w:rsidRDefault="00C2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418"/>
    <w:multiLevelType w:val="hybridMultilevel"/>
    <w:tmpl w:val="2194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23D7"/>
    <w:multiLevelType w:val="hybridMultilevel"/>
    <w:tmpl w:val="F5D6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478B6"/>
    <w:multiLevelType w:val="hybridMultilevel"/>
    <w:tmpl w:val="2194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C0DF5"/>
    <w:multiLevelType w:val="hybridMultilevel"/>
    <w:tmpl w:val="B3B01DDE"/>
    <w:lvl w:ilvl="0" w:tplc="9D7E508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DC2193"/>
    <w:multiLevelType w:val="hybridMultilevel"/>
    <w:tmpl w:val="9F1CA2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EC461B"/>
    <w:multiLevelType w:val="hybridMultilevel"/>
    <w:tmpl w:val="2ADC9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1D96460"/>
    <w:multiLevelType w:val="hybridMultilevel"/>
    <w:tmpl w:val="2F621F78"/>
    <w:lvl w:ilvl="0" w:tplc="00EE108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66582A"/>
    <w:multiLevelType w:val="multilevel"/>
    <w:tmpl w:val="F57E65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2"/>
  </w:num>
  <w:num w:numId="5">
    <w:abstractNumId w:val="0"/>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5F"/>
    <w:rsid w:val="00002BA8"/>
    <w:rsid w:val="000102EA"/>
    <w:rsid w:val="0006442A"/>
    <w:rsid w:val="00074F46"/>
    <w:rsid w:val="00095F9E"/>
    <w:rsid w:val="000D0392"/>
    <w:rsid w:val="000D1954"/>
    <w:rsid w:val="00102270"/>
    <w:rsid w:val="001441B1"/>
    <w:rsid w:val="001444B6"/>
    <w:rsid w:val="00166220"/>
    <w:rsid w:val="001761D7"/>
    <w:rsid w:val="001A5F88"/>
    <w:rsid w:val="001E4129"/>
    <w:rsid w:val="001F6D66"/>
    <w:rsid w:val="0021387B"/>
    <w:rsid w:val="00244866"/>
    <w:rsid w:val="00250F3D"/>
    <w:rsid w:val="002E36C0"/>
    <w:rsid w:val="002E42AD"/>
    <w:rsid w:val="003621E7"/>
    <w:rsid w:val="003D5D89"/>
    <w:rsid w:val="003F2E3C"/>
    <w:rsid w:val="00431532"/>
    <w:rsid w:val="004359C8"/>
    <w:rsid w:val="00497AD2"/>
    <w:rsid w:val="004B4FA4"/>
    <w:rsid w:val="0050036D"/>
    <w:rsid w:val="00543C9B"/>
    <w:rsid w:val="00567D5A"/>
    <w:rsid w:val="005C7A73"/>
    <w:rsid w:val="00607C11"/>
    <w:rsid w:val="00625070"/>
    <w:rsid w:val="00644685"/>
    <w:rsid w:val="00697128"/>
    <w:rsid w:val="006E3165"/>
    <w:rsid w:val="006F3E54"/>
    <w:rsid w:val="00730F54"/>
    <w:rsid w:val="00797FDF"/>
    <w:rsid w:val="007D0FB1"/>
    <w:rsid w:val="00804076"/>
    <w:rsid w:val="00812878"/>
    <w:rsid w:val="00865B60"/>
    <w:rsid w:val="008F711B"/>
    <w:rsid w:val="009126F1"/>
    <w:rsid w:val="00920A06"/>
    <w:rsid w:val="00926818"/>
    <w:rsid w:val="00931F1C"/>
    <w:rsid w:val="009323CF"/>
    <w:rsid w:val="0098135A"/>
    <w:rsid w:val="009936A6"/>
    <w:rsid w:val="009F36C4"/>
    <w:rsid w:val="00A36091"/>
    <w:rsid w:val="00A72151"/>
    <w:rsid w:val="00AC7BB4"/>
    <w:rsid w:val="00AF790B"/>
    <w:rsid w:val="00B206CE"/>
    <w:rsid w:val="00B20D05"/>
    <w:rsid w:val="00B24CB8"/>
    <w:rsid w:val="00B37B5F"/>
    <w:rsid w:val="00B806E9"/>
    <w:rsid w:val="00B95608"/>
    <w:rsid w:val="00BC18FF"/>
    <w:rsid w:val="00BF5645"/>
    <w:rsid w:val="00BF706C"/>
    <w:rsid w:val="00C221D9"/>
    <w:rsid w:val="00C253C9"/>
    <w:rsid w:val="00C4065C"/>
    <w:rsid w:val="00C941D4"/>
    <w:rsid w:val="00C949BF"/>
    <w:rsid w:val="00C95AA6"/>
    <w:rsid w:val="00C979A5"/>
    <w:rsid w:val="00CD7480"/>
    <w:rsid w:val="00CE2A11"/>
    <w:rsid w:val="00D32EEB"/>
    <w:rsid w:val="00D51A9E"/>
    <w:rsid w:val="00D67710"/>
    <w:rsid w:val="00D7518E"/>
    <w:rsid w:val="00D76301"/>
    <w:rsid w:val="00D96517"/>
    <w:rsid w:val="00DA78EB"/>
    <w:rsid w:val="00DF6109"/>
    <w:rsid w:val="00E416A7"/>
    <w:rsid w:val="00E4421B"/>
    <w:rsid w:val="00EF56D8"/>
    <w:rsid w:val="00F030FC"/>
    <w:rsid w:val="00F058C7"/>
    <w:rsid w:val="00F50033"/>
    <w:rsid w:val="00F55767"/>
    <w:rsid w:val="00F85E81"/>
    <w:rsid w:val="00F97592"/>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96A351"/>
  <w15:chartTrackingRefBased/>
  <w15:docId w15:val="{CF2DA25D-C239-446D-A904-8E83C33D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5F"/>
    <w:pPr>
      <w:spacing w:after="200" w:line="276" w:lineRule="auto"/>
    </w:pPr>
    <w:rPr>
      <w:lang w:val="en-GB"/>
    </w:rPr>
  </w:style>
  <w:style w:type="paragraph" w:styleId="Heading2">
    <w:name w:val="heading 2"/>
    <w:basedOn w:val="Normal"/>
    <w:next w:val="Normal"/>
    <w:link w:val="Heading2Char"/>
    <w:uiPriority w:val="9"/>
    <w:unhideWhenUsed/>
    <w:qFormat/>
    <w:rsid w:val="00B37B5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B5F"/>
    <w:rPr>
      <w:rFonts w:asciiTheme="majorHAnsi" w:eastAsiaTheme="majorEastAsia" w:hAnsiTheme="majorHAnsi" w:cstheme="majorBidi"/>
      <w:b/>
      <w:bCs/>
      <w:color w:val="5B9BD5" w:themeColor="accent1"/>
      <w:sz w:val="26"/>
      <w:szCs w:val="26"/>
      <w:lang w:val="en-GB"/>
    </w:rPr>
  </w:style>
  <w:style w:type="paragraph" w:styleId="Header">
    <w:name w:val="header"/>
    <w:basedOn w:val="Normal"/>
    <w:link w:val="HeaderChar"/>
    <w:uiPriority w:val="99"/>
    <w:unhideWhenUsed/>
    <w:rsid w:val="00B37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B5F"/>
    <w:rPr>
      <w:lang w:val="en-GB"/>
    </w:rPr>
  </w:style>
  <w:style w:type="paragraph" w:styleId="Footer">
    <w:name w:val="footer"/>
    <w:basedOn w:val="Normal"/>
    <w:link w:val="FooterChar"/>
    <w:uiPriority w:val="99"/>
    <w:unhideWhenUsed/>
    <w:rsid w:val="00B37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B5F"/>
    <w:rPr>
      <w:lang w:val="en-GB"/>
    </w:rPr>
  </w:style>
  <w:style w:type="paragraph" w:styleId="ListParagraph">
    <w:name w:val="List Paragraph"/>
    <w:basedOn w:val="Normal"/>
    <w:uiPriority w:val="34"/>
    <w:qFormat/>
    <w:rsid w:val="00B37B5F"/>
    <w:pPr>
      <w:ind w:left="720"/>
      <w:contextualSpacing/>
    </w:pPr>
  </w:style>
  <w:style w:type="table" w:styleId="LightList-Accent5">
    <w:name w:val="Light List Accent 5"/>
    <w:basedOn w:val="TableNormal"/>
    <w:uiPriority w:val="61"/>
    <w:rsid w:val="00B37B5F"/>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TableGrid">
    <w:name w:val="Table Grid"/>
    <w:basedOn w:val="TableNormal"/>
    <w:uiPriority w:val="59"/>
    <w:rsid w:val="00B37B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B5F"/>
    <w:rPr>
      <w:sz w:val="20"/>
      <w:szCs w:val="20"/>
      <w:lang w:val="en-GB"/>
    </w:rPr>
  </w:style>
  <w:style w:type="character" w:styleId="FootnoteReference">
    <w:name w:val="footnote reference"/>
    <w:basedOn w:val="DefaultParagraphFont"/>
    <w:uiPriority w:val="99"/>
    <w:semiHidden/>
    <w:unhideWhenUsed/>
    <w:rsid w:val="00B37B5F"/>
    <w:rPr>
      <w:vertAlign w:val="superscript"/>
    </w:rPr>
  </w:style>
  <w:style w:type="character" w:customStyle="1" w:styleId="A0">
    <w:name w:val="A0"/>
    <w:uiPriority w:val="99"/>
    <w:rsid w:val="00B37B5F"/>
    <w:rPr>
      <w:rFonts w:cs="Lato"/>
      <w:color w:val="080707"/>
      <w:sz w:val="18"/>
      <w:szCs w:val="18"/>
    </w:rPr>
  </w:style>
  <w:style w:type="character" w:customStyle="1" w:styleId="st">
    <w:name w:val="st"/>
    <w:basedOn w:val="DefaultParagraphFont"/>
    <w:rsid w:val="00B37B5F"/>
  </w:style>
  <w:style w:type="character" w:styleId="CommentReference">
    <w:name w:val="annotation reference"/>
    <w:basedOn w:val="DefaultParagraphFont"/>
    <w:uiPriority w:val="99"/>
    <w:semiHidden/>
    <w:unhideWhenUsed/>
    <w:rsid w:val="0098135A"/>
    <w:rPr>
      <w:sz w:val="16"/>
      <w:szCs w:val="16"/>
    </w:rPr>
  </w:style>
  <w:style w:type="paragraph" w:styleId="CommentText">
    <w:name w:val="annotation text"/>
    <w:basedOn w:val="Normal"/>
    <w:link w:val="CommentTextChar"/>
    <w:uiPriority w:val="99"/>
    <w:semiHidden/>
    <w:unhideWhenUsed/>
    <w:rsid w:val="0098135A"/>
    <w:pPr>
      <w:spacing w:line="240" w:lineRule="auto"/>
    </w:pPr>
    <w:rPr>
      <w:sz w:val="20"/>
      <w:szCs w:val="20"/>
    </w:rPr>
  </w:style>
  <w:style w:type="character" w:customStyle="1" w:styleId="CommentTextChar">
    <w:name w:val="Comment Text Char"/>
    <w:basedOn w:val="DefaultParagraphFont"/>
    <w:link w:val="CommentText"/>
    <w:uiPriority w:val="99"/>
    <w:semiHidden/>
    <w:rsid w:val="0098135A"/>
    <w:rPr>
      <w:sz w:val="20"/>
      <w:szCs w:val="20"/>
      <w:lang w:val="en-GB"/>
    </w:rPr>
  </w:style>
  <w:style w:type="paragraph" w:styleId="CommentSubject">
    <w:name w:val="annotation subject"/>
    <w:basedOn w:val="CommentText"/>
    <w:next w:val="CommentText"/>
    <w:link w:val="CommentSubjectChar"/>
    <w:uiPriority w:val="99"/>
    <w:semiHidden/>
    <w:unhideWhenUsed/>
    <w:rsid w:val="0098135A"/>
    <w:rPr>
      <w:b/>
      <w:bCs/>
    </w:rPr>
  </w:style>
  <w:style w:type="character" w:customStyle="1" w:styleId="CommentSubjectChar">
    <w:name w:val="Comment Subject Char"/>
    <w:basedOn w:val="CommentTextChar"/>
    <w:link w:val="CommentSubject"/>
    <w:uiPriority w:val="99"/>
    <w:semiHidden/>
    <w:rsid w:val="0098135A"/>
    <w:rPr>
      <w:b/>
      <w:bCs/>
      <w:sz w:val="20"/>
      <w:szCs w:val="20"/>
      <w:lang w:val="en-GB"/>
    </w:rPr>
  </w:style>
  <w:style w:type="paragraph" w:styleId="BalloonText">
    <w:name w:val="Balloon Text"/>
    <w:basedOn w:val="Normal"/>
    <w:link w:val="BalloonTextChar"/>
    <w:uiPriority w:val="99"/>
    <w:semiHidden/>
    <w:unhideWhenUsed/>
    <w:rsid w:val="00981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35A"/>
    <w:rPr>
      <w:rFonts w:ascii="Segoe UI" w:hAnsi="Segoe UI" w:cs="Segoe UI"/>
      <w:sz w:val="18"/>
      <w:szCs w:val="18"/>
      <w:lang w:val="en-GB"/>
    </w:rPr>
  </w:style>
  <w:style w:type="character" w:styleId="Emphasis">
    <w:name w:val="Emphasis"/>
    <w:basedOn w:val="DefaultParagraphFont"/>
    <w:uiPriority w:val="20"/>
    <w:qFormat/>
    <w:rsid w:val="001F6D66"/>
    <w:rPr>
      <w:b/>
      <w:bCs/>
      <w:i w:val="0"/>
      <w:iCs w:val="0"/>
    </w:rPr>
  </w:style>
  <w:style w:type="character" w:customStyle="1" w:styleId="st1">
    <w:name w:val="st1"/>
    <w:basedOn w:val="DefaultParagraphFont"/>
    <w:rsid w:val="001F6D66"/>
  </w:style>
  <w:style w:type="paragraph" w:customStyle="1" w:styleId="Default">
    <w:name w:val="Default"/>
    <w:rsid w:val="00E4421B"/>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semiHidden/>
    <w:unhideWhenUsed/>
    <w:rsid w:val="00E4421B"/>
    <w:pPr>
      <w:spacing w:after="270" w:line="240" w:lineRule="auto"/>
    </w:pPr>
    <w:rPr>
      <w:rFonts w:ascii="inherit" w:eastAsia="Times New Roman" w:hAnsi="inheri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47567">
      <w:bodyDiv w:val="1"/>
      <w:marLeft w:val="0"/>
      <w:marRight w:val="0"/>
      <w:marTop w:val="0"/>
      <w:marBottom w:val="0"/>
      <w:divBdr>
        <w:top w:val="none" w:sz="0" w:space="0" w:color="auto"/>
        <w:left w:val="none" w:sz="0" w:space="0" w:color="auto"/>
        <w:bottom w:val="none" w:sz="0" w:space="0" w:color="auto"/>
        <w:right w:val="none" w:sz="0" w:space="0" w:color="auto"/>
      </w:divBdr>
    </w:div>
    <w:div w:id="21228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o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9B38-6B9D-46C4-9D1E-C115B5DD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2295</Words>
  <Characters>13083</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CEFIC</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ABRAMIUK LÉTÉ EWA</dc:creator>
  <cp:keywords/>
  <dc:description/>
  <cp:lastModifiedBy>ABRAMIUK LÉTÉ EWA</cp:lastModifiedBy>
  <cp:revision>24</cp:revision>
  <cp:lastPrinted>2018-06-28T16:37:00Z</cp:lastPrinted>
  <dcterms:created xsi:type="dcterms:W3CDTF">2018-06-18T12:02:00Z</dcterms:created>
  <dcterms:modified xsi:type="dcterms:W3CDTF">2018-06-28T16:46:00Z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